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611B1AF" w:rsidR="009E5A7D" w:rsidRPr="00D84768" w:rsidRDefault="009E5A7D" w:rsidP="009A65F3">
      <w:pPr>
        <w:spacing w:before="240" w:after="240" w:line="360" w:lineRule="auto"/>
        <w:jc w:val="both"/>
        <w:rPr>
          <w:rFonts w:ascii="Palatino Linotype" w:hAnsi="Palatino Linotype" w:cs="Arial"/>
        </w:rPr>
      </w:pPr>
      <w:r w:rsidRPr="00D84768">
        <w:rPr>
          <w:rFonts w:ascii="Palatino Linotype" w:hAnsi="Palatino Linotype"/>
        </w:rPr>
        <w:t>Resolución del Pleno del Instituto de Transparencia, Acceso a la Información Pública y Protección de Datos Personales del Estado de México y Municipios,</w:t>
      </w:r>
      <w:r w:rsidR="00880CEA" w:rsidRPr="00D84768">
        <w:rPr>
          <w:rFonts w:ascii="Palatino Linotype" w:hAnsi="Palatino Linotype"/>
        </w:rPr>
        <w:t xml:space="preserve"> </w:t>
      </w:r>
      <w:r w:rsidR="00880CEA" w:rsidRPr="00D84768">
        <w:rPr>
          <w:rFonts w:ascii="Palatino Linotype" w:eastAsia="Calibri" w:hAnsi="Palatino Linotype" w:cs="Arial"/>
        </w:rPr>
        <w:t>con domicilio en Metepec, Estado de México,</w:t>
      </w:r>
      <w:r w:rsidRPr="00D84768">
        <w:rPr>
          <w:rFonts w:ascii="Palatino Linotype" w:hAnsi="Palatino Linotype"/>
        </w:rPr>
        <w:t xml:space="preserve"> </w:t>
      </w:r>
      <w:r w:rsidR="00DF2EE7" w:rsidRPr="00D84768">
        <w:rPr>
          <w:rFonts w:ascii="Palatino Linotype" w:hAnsi="Palatino Linotype"/>
        </w:rPr>
        <w:t>de fecha</w:t>
      </w:r>
      <w:r w:rsidR="00FC0D7D" w:rsidRPr="00D84768">
        <w:rPr>
          <w:rFonts w:ascii="Palatino Linotype" w:hAnsi="Palatino Linotype"/>
        </w:rPr>
        <w:t xml:space="preserve"> </w:t>
      </w:r>
      <w:r w:rsidR="00BE4452">
        <w:rPr>
          <w:rStyle w:val="apple-converted-space"/>
          <w:rFonts w:ascii="Palatino Linotype" w:hAnsi="Palatino Linotype" w:cs="Arial"/>
        </w:rPr>
        <w:t>treinta</w:t>
      </w:r>
      <w:r w:rsidR="009D11EA" w:rsidRPr="00D84768">
        <w:rPr>
          <w:rStyle w:val="normaltextrun"/>
          <w:rFonts w:ascii="Palatino Linotype" w:hAnsi="Palatino Linotype" w:cs="Arial"/>
        </w:rPr>
        <w:t xml:space="preserve"> </w:t>
      </w:r>
      <w:r w:rsidRPr="00D84768">
        <w:rPr>
          <w:rStyle w:val="normaltextrun"/>
          <w:rFonts w:ascii="Palatino Linotype" w:hAnsi="Palatino Linotype" w:cs="Arial"/>
        </w:rPr>
        <w:t>de</w:t>
      </w:r>
      <w:r w:rsidR="002F35EC" w:rsidRPr="00D84768">
        <w:rPr>
          <w:rStyle w:val="normaltextrun"/>
          <w:rFonts w:ascii="Palatino Linotype" w:hAnsi="Palatino Linotype" w:cs="Arial"/>
        </w:rPr>
        <w:t xml:space="preserve"> </w:t>
      </w:r>
      <w:r w:rsidR="00BE4452">
        <w:rPr>
          <w:rStyle w:val="normaltextrun"/>
          <w:rFonts w:ascii="Palatino Linotype" w:hAnsi="Palatino Linotype" w:cs="Arial"/>
        </w:rPr>
        <w:t xml:space="preserve">enero </w:t>
      </w:r>
      <w:r w:rsidRPr="00D84768">
        <w:rPr>
          <w:rStyle w:val="normaltextrun"/>
          <w:rFonts w:ascii="Palatino Linotype" w:hAnsi="Palatino Linotype" w:cs="Arial"/>
        </w:rPr>
        <w:t xml:space="preserve">de dos mil </w:t>
      </w:r>
      <w:r w:rsidR="00155EE8" w:rsidRPr="00D84768">
        <w:rPr>
          <w:rStyle w:val="normaltextrun"/>
          <w:rFonts w:ascii="Palatino Linotype" w:hAnsi="Palatino Linotype" w:cs="Arial"/>
        </w:rPr>
        <w:t>dieci</w:t>
      </w:r>
      <w:r w:rsidR="000B0964" w:rsidRPr="00D84768">
        <w:rPr>
          <w:rStyle w:val="normaltextrun"/>
          <w:rFonts w:ascii="Palatino Linotype" w:hAnsi="Palatino Linotype" w:cs="Arial"/>
        </w:rPr>
        <w:t>nueve</w:t>
      </w:r>
      <w:r w:rsidRPr="00D84768">
        <w:rPr>
          <w:rStyle w:val="normaltextrun"/>
          <w:rFonts w:ascii="Palatino Linotype" w:hAnsi="Palatino Linotype" w:cs="Arial"/>
        </w:rPr>
        <w:t>.</w:t>
      </w:r>
    </w:p>
    <w:p w14:paraId="09115020" w14:textId="2A2E492A" w:rsidR="009E5A7D" w:rsidRPr="00D84768" w:rsidRDefault="009E5A7D" w:rsidP="009A65F3">
      <w:pPr>
        <w:spacing w:before="240" w:after="240" w:line="360" w:lineRule="auto"/>
        <w:jc w:val="both"/>
        <w:rPr>
          <w:rFonts w:ascii="Palatino Linotype" w:hAnsi="Palatino Linotype" w:cs="Arial"/>
          <w:b/>
        </w:rPr>
      </w:pPr>
      <w:r w:rsidRPr="00D84768">
        <w:rPr>
          <w:rFonts w:ascii="Palatino Linotype" w:hAnsi="Palatino Linotype" w:cs="Arial"/>
          <w:b/>
        </w:rPr>
        <w:t>Visto</w:t>
      </w:r>
      <w:r w:rsidRPr="00D84768">
        <w:rPr>
          <w:rFonts w:ascii="Palatino Linotype" w:hAnsi="Palatino Linotype" w:cs="Arial"/>
        </w:rPr>
        <w:t xml:space="preserve"> el expediente relativo al recurso de revisión </w:t>
      </w:r>
      <w:r w:rsidR="002F35EC" w:rsidRPr="00D84768">
        <w:rPr>
          <w:rFonts w:ascii="Palatino Linotype" w:hAnsi="Palatino Linotype" w:cs="Arial"/>
          <w:b/>
          <w:bCs/>
        </w:rPr>
        <w:t>0</w:t>
      </w:r>
      <w:r w:rsidR="00A614C7" w:rsidRPr="00D84768">
        <w:rPr>
          <w:rFonts w:ascii="Palatino Linotype" w:hAnsi="Palatino Linotype" w:cs="Arial"/>
          <w:b/>
          <w:bCs/>
        </w:rPr>
        <w:t>4</w:t>
      </w:r>
      <w:r w:rsidR="00DB48DE" w:rsidRPr="00D84768">
        <w:rPr>
          <w:rFonts w:ascii="Palatino Linotype" w:hAnsi="Palatino Linotype" w:cs="Arial"/>
          <w:b/>
          <w:bCs/>
        </w:rPr>
        <w:t>5</w:t>
      </w:r>
      <w:r w:rsidR="00A614C7" w:rsidRPr="00D84768">
        <w:rPr>
          <w:rFonts w:ascii="Palatino Linotype" w:hAnsi="Palatino Linotype" w:cs="Arial"/>
          <w:b/>
          <w:bCs/>
        </w:rPr>
        <w:t>7</w:t>
      </w:r>
      <w:r w:rsidR="004A5820" w:rsidRPr="00D84768">
        <w:rPr>
          <w:rFonts w:ascii="Palatino Linotype" w:hAnsi="Palatino Linotype" w:cs="Arial"/>
          <w:b/>
          <w:bCs/>
        </w:rPr>
        <w:t>4</w:t>
      </w:r>
      <w:r w:rsidR="00155EE8" w:rsidRPr="00D84768">
        <w:rPr>
          <w:rFonts w:ascii="Palatino Linotype" w:hAnsi="Palatino Linotype" w:cs="Arial"/>
          <w:b/>
          <w:bCs/>
        </w:rPr>
        <w:t>/INFOEM/IP/RR/201</w:t>
      </w:r>
      <w:r w:rsidR="005D516E" w:rsidRPr="00D84768">
        <w:rPr>
          <w:rFonts w:ascii="Palatino Linotype" w:hAnsi="Palatino Linotype" w:cs="Arial"/>
          <w:b/>
          <w:bCs/>
        </w:rPr>
        <w:t>8</w:t>
      </w:r>
      <w:r w:rsidRPr="00D84768">
        <w:rPr>
          <w:rFonts w:ascii="Palatino Linotype" w:hAnsi="Palatino Linotype" w:cs="Arial"/>
        </w:rPr>
        <w:t>, interpuesto por</w:t>
      </w:r>
      <w:r w:rsidR="004A5820" w:rsidRPr="00D84768">
        <w:rPr>
          <w:rFonts w:ascii="Palatino Linotype" w:hAnsi="Palatino Linotype" w:cs="Arial"/>
        </w:rPr>
        <w:t xml:space="preserve"> </w:t>
      </w:r>
      <w:r w:rsidR="00A01627">
        <w:rPr>
          <w:rFonts w:ascii="Palatino Linotype" w:hAnsi="Palatino Linotype" w:cs="Arial"/>
          <w:b/>
        </w:rPr>
        <w:t>Xxxxx Xxxxxx Xxxxx</w:t>
      </w:r>
      <w:bookmarkStart w:id="0" w:name="_GoBack"/>
      <w:bookmarkEnd w:id="0"/>
      <w:r w:rsidRPr="00D84768">
        <w:rPr>
          <w:rFonts w:ascii="Palatino Linotype" w:hAnsi="Palatino Linotype" w:cs="Arial"/>
        </w:rPr>
        <w:t xml:space="preserve">, en lo sucesivo </w:t>
      </w:r>
      <w:r w:rsidR="00D94CF7" w:rsidRPr="00D84768">
        <w:rPr>
          <w:rFonts w:ascii="Palatino Linotype" w:hAnsi="Palatino Linotype" w:cs="Arial"/>
        </w:rPr>
        <w:t>l</w:t>
      </w:r>
      <w:r w:rsidR="00DB48DE" w:rsidRPr="00D84768">
        <w:rPr>
          <w:rFonts w:ascii="Palatino Linotype" w:hAnsi="Palatino Linotype" w:cs="Arial"/>
        </w:rPr>
        <w:t>a</w:t>
      </w:r>
      <w:r w:rsidRPr="00D84768">
        <w:rPr>
          <w:rFonts w:ascii="Palatino Linotype" w:hAnsi="Palatino Linotype" w:cs="Arial"/>
        </w:rPr>
        <w:t xml:space="preserve"> </w:t>
      </w:r>
      <w:r w:rsidRPr="00D84768">
        <w:rPr>
          <w:rFonts w:ascii="Palatino Linotype" w:hAnsi="Palatino Linotype" w:cs="Arial"/>
          <w:b/>
        </w:rPr>
        <w:t>recurrente</w:t>
      </w:r>
      <w:r w:rsidRPr="00D84768">
        <w:rPr>
          <w:rFonts w:ascii="Palatino Linotype" w:hAnsi="Palatino Linotype" w:cs="Arial"/>
        </w:rPr>
        <w:t xml:space="preserve"> en contra de la</w:t>
      </w:r>
      <w:r w:rsidR="00FD5E90" w:rsidRPr="00D84768">
        <w:rPr>
          <w:rFonts w:ascii="Palatino Linotype" w:hAnsi="Palatino Linotype" w:cs="Arial"/>
        </w:rPr>
        <w:t xml:space="preserve"> </w:t>
      </w:r>
      <w:r w:rsidRPr="00D84768">
        <w:rPr>
          <w:rFonts w:ascii="Palatino Linotype" w:hAnsi="Palatino Linotype" w:cs="Arial"/>
        </w:rPr>
        <w:t xml:space="preserve">respuesta a su solicitud de información con número de folio </w:t>
      </w:r>
      <w:r w:rsidR="002F35EC" w:rsidRPr="00D84768">
        <w:rPr>
          <w:rFonts w:ascii="Palatino Linotype" w:hAnsi="Palatino Linotype" w:cs="Arial"/>
          <w:b/>
        </w:rPr>
        <w:t>00</w:t>
      </w:r>
      <w:r w:rsidR="00FC0D7D" w:rsidRPr="00D84768">
        <w:rPr>
          <w:rFonts w:ascii="Palatino Linotype" w:hAnsi="Palatino Linotype" w:cs="Arial"/>
          <w:b/>
        </w:rPr>
        <w:t>519</w:t>
      </w:r>
      <w:r w:rsidR="005D516E" w:rsidRPr="00D84768">
        <w:rPr>
          <w:rFonts w:ascii="Palatino Linotype" w:hAnsi="Palatino Linotype" w:cs="Arial"/>
          <w:b/>
        </w:rPr>
        <w:t>/</w:t>
      </w:r>
      <w:r w:rsidR="00FC0D7D" w:rsidRPr="00D84768">
        <w:rPr>
          <w:rFonts w:ascii="Palatino Linotype" w:hAnsi="Palatino Linotype" w:cs="Arial"/>
          <w:b/>
        </w:rPr>
        <w:t>TOLUCA</w:t>
      </w:r>
      <w:r w:rsidR="00155EE8" w:rsidRPr="00D84768">
        <w:rPr>
          <w:rFonts w:ascii="Palatino Linotype" w:hAnsi="Palatino Linotype" w:cs="Arial"/>
          <w:b/>
        </w:rPr>
        <w:t>/IP/201</w:t>
      </w:r>
      <w:r w:rsidR="0011135B" w:rsidRPr="00D84768">
        <w:rPr>
          <w:rFonts w:ascii="Palatino Linotype" w:hAnsi="Palatino Linotype" w:cs="Arial"/>
          <w:b/>
        </w:rPr>
        <w:t>8</w:t>
      </w:r>
      <w:r w:rsidRPr="00D84768">
        <w:rPr>
          <w:rFonts w:ascii="Palatino Linotype" w:hAnsi="Palatino Linotype" w:cs="Arial"/>
        </w:rPr>
        <w:t>, por parte de</w:t>
      </w:r>
      <w:r w:rsidR="00A74766" w:rsidRPr="00D84768">
        <w:rPr>
          <w:rFonts w:ascii="Palatino Linotype" w:hAnsi="Palatino Linotype" w:cs="Arial"/>
        </w:rPr>
        <w:t>l</w:t>
      </w:r>
      <w:r w:rsidRPr="00D84768">
        <w:rPr>
          <w:rFonts w:ascii="Palatino Linotype" w:hAnsi="Palatino Linotype" w:cs="Arial"/>
        </w:rPr>
        <w:t xml:space="preserve"> </w:t>
      </w:r>
      <w:r w:rsidR="00DB48DE" w:rsidRPr="00D84768">
        <w:rPr>
          <w:rFonts w:ascii="Palatino Linotype" w:hAnsi="Palatino Linotype" w:cs="Arial"/>
          <w:b/>
        </w:rPr>
        <w:t>Ayuntamiento de</w:t>
      </w:r>
      <w:r w:rsidR="00FC0D7D" w:rsidRPr="00D84768">
        <w:rPr>
          <w:rFonts w:ascii="Palatino Linotype" w:hAnsi="Palatino Linotype" w:cs="Arial"/>
          <w:b/>
        </w:rPr>
        <w:t xml:space="preserve"> Toluca</w:t>
      </w:r>
      <w:r w:rsidR="004A5820" w:rsidRPr="00D84768">
        <w:rPr>
          <w:rFonts w:ascii="Palatino Linotype" w:hAnsi="Palatino Linotype" w:cs="Arial"/>
        </w:rPr>
        <w:t xml:space="preserve">, </w:t>
      </w:r>
      <w:r w:rsidRPr="00D84768">
        <w:rPr>
          <w:rFonts w:ascii="Palatino Linotype" w:hAnsi="Palatino Linotype" w:cs="Arial"/>
        </w:rPr>
        <w:t xml:space="preserve">en lo sucesivo el </w:t>
      </w:r>
      <w:r w:rsidRPr="00D84768">
        <w:rPr>
          <w:rFonts w:ascii="Palatino Linotype" w:hAnsi="Palatino Linotype" w:cs="Arial"/>
          <w:b/>
        </w:rPr>
        <w:t xml:space="preserve">Sujeto Obligado; </w:t>
      </w:r>
      <w:r w:rsidRPr="00D84768">
        <w:rPr>
          <w:rFonts w:ascii="Palatino Linotype" w:hAnsi="Palatino Linotype" w:cs="Arial"/>
        </w:rPr>
        <w:t>se procede a dictar la presente resolución, con base en lo siguiente.</w:t>
      </w:r>
    </w:p>
    <w:p w14:paraId="783B97B4" w14:textId="77777777" w:rsidR="009E5A7D" w:rsidRPr="00D84768"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D84768">
        <w:rPr>
          <w:rFonts w:ascii="Palatino Linotype" w:hAnsi="Palatino Linotype" w:cs="Arial"/>
          <w:b/>
        </w:rPr>
        <w:t>A N T E C E D E N T E S:</w:t>
      </w:r>
    </w:p>
    <w:p w14:paraId="2137DF43" w14:textId="5AC6150F" w:rsidR="009E5A7D" w:rsidRPr="00D84768" w:rsidRDefault="009E5A7D" w:rsidP="009A65F3">
      <w:pPr>
        <w:spacing w:before="240" w:after="240" w:line="360" w:lineRule="auto"/>
        <w:jc w:val="both"/>
        <w:rPr>
          <w:rFonts w:ascii="Palatino Linotype" w:hAnsi="Palatino Linotype" w:cs="Arial"/>
          <w:b/>
        </w:rPr>
      </w:pPr>
      <w:r w:rsidRPr="00D84768">
        <w:rPr>
          <w:rFonts w:ascii="Palatino Linotype" w:hAnsi="Palatino Linotype" w:cs="Arial"/>
          <w:b/>
        </w:rPr>
        <w:t xml:space="preserve">1. Solicitud de acceso a la información. </w:t>
      </w:r>
      <w:r w:rsidRPr="00D84768">
        <w:rPr>
          <w:rFonts w:ascii="Palatino Linotype" w:hAnsi="Palatino Linotype" w:cs="Arial"/>
        </w:rPr>
        <w:t xml:space="preserve">Con fecha </w:t>
      </w:r>
      <w:r w:rsidR="00053B57" w:rsidRPr="00D84768">
        <w:rPr>
          <w:rFonts w:ascii="Palatino Linotype" w:hAnsi="Palatino Linotype" w:cs="Arial"/>
        </w:rPr>
        <w:t>veinticinco</w:t>
      </w:r>
      <w:r w:rsidR="00DB48DE" w:rsidRPr="00D84768">
        <w:rPr>
          <w:rFonts w:ascii="Palatino Linotype" w:hAnsi="Palatino Linotype" w:cs="Arial"/>
        </w:rPr>
        <w:t xml:space="preserve"> de</w:t>
      </w:r>
      <w:r w:rsidRPr="00D84768">
        <w:rPr>
          <w:rFonts w:ascii="Palatino Linotype" w:hAnsi="Palatino Linotype" w:cs="Arial"/>
        </w:rPr>
        <w:t xml:space="preserve"> </w:t>
      </w:r>
      <w:r w:rsidR="00DB48DE" w:rsidRPr="00D84768">
        <w:rPr>
          <w:rFonts w:ascii="Palatino Linotype" w:hAnsi="Palatino Linotype" w:cs="Arial"/>
        </w:rPr>
        <w:t xml:space="preserve">octubre </w:t>
      </w:r>
      <w:r w:rsidR="00C72F08" w:rsidRPr="00D84768">
        <w:rPr>
          <w:rFonts w:ascii="Palatino Linotype" w:hAnsi="Palatino Linotype" w:cs="Arial"/>
        </w:rPr>
        <w:t xml:space="preserve">de </w:t>
      </w:r>
      <w:r w:rsidRPr="00D84768">
        <w:rPr>
          <w:rFonts w:ascii="Palatino Linotype" w:hAnsi="Palatino Linotype" w:cs="Arial"/>
        </w:rPr>
        <w:t xml:space="preserve">dos mil </w:t>
      </w:r>
      <w:r w:rsidR="00155EE8" w:rsidRPr="00D84768">
        <w:rPr>
          <w:rFonts w:ascii="Palatino Linotype" w:hAnsi="Palatino Linotype" w:cs="Arial"/>
        </w:rPr>
        <w:t>dieci</w:t>
      </w:r>
      <w:r w:rsidR="0011135B" w:rsidRPr="00D84768">
        <w:rPr>
          <w:rFonts w:ascii="Palatino Linotype" w:hAnsi="Palatino Linotype" w:cs="Arial"/>
        </w:rPr>
        <w:t>ocho</w:t>
      </w:r>
      <w:r w:rsidRPr="00D84768">
        <w:rPr>
          <w:rFonts w:ascii="Palatino Linotype" w:hAnsi="Palatino Linotype" w:cs="Arial"/>
        </w:rPr>
        <w:t>, la</w:t>
      </w:r>
      <w:r w:rsidR="00176A2B" w:rsidRPr="00D84768">
        <w:rPr>
          <w:rFonts w:ascii="Palatino Linotype" w:hAnsi="Palatino Linotype" w:cs="Arial"/>
        </w:rPr>
        <w:t xml:space="preserve"> parte</w:t>
      </w:r>
      <w:r w:rsidRPr="00D84768">
        <w:rPr>
          <w:rFonts w:ascii="Palatino Linotype" w:hAnsi="Palatino Linotype" w:cs="Arial"/>
        </w:rPr>
        <w:t xml:space="preserve"> </w:t>
      </w:r>
      <w:r w:rsidRPr="00D84768">
        <w:rPr>
          <w:rFonts w:ascii="Palatino Linotype" w:hAnsi="Palatino Linotype" w:cs="Arial"/>
          <w:b/>
        </w:rPr>
        <w:t>recurrente</w:t>
      </w:r>
      <w:r w:rsidRPr="00D84768">
        <w:rPr>
          <w:rFonts w:ascii="Palatino Linotype" w:hAnsi="Palatino Linotype" w:cs="Arial"/>
        </w:rPr>
        <w:t xml:space="preserve"> formuló solicitud de acceso a</w:t>
      </w:r>
      <w:r w:rsidR="00FF6B97" w:rsidRPr="00D84768">
        <w:rPr>
          <w:rFonts w:ascii="Palatino Linotype" w:hAnsi="Palatino Linotype" w:cs="Arial"/>
        </w:rPr>
        <w:t xml:space="preserve"> la</w:t>
      </w:r>
      <w:r w:rsidRPr="00D84768">
        <w:rPr>
          <w:rFonts w:ascii="Palatino Linotype" w:hAnsi="Palatino Linotype" w:cs="Arial"/>
        </w:rPr>
        <w:t xml:space="preserve"> información pública al </w:t>
      </w:r>
      <w:r w:rsidRPr="00D84768">
        <w:rPr>
          <w:rFonts w:ascii="Palatino Linotype" w:hAnsi="Palatino Linotype" w:cs="Arial"/>
          <w:b/>
        </w:rPr>
        <w:t>Sujeto Obligado</w:t>
      </w:r>
      <w:r w:rsidRPr="00D84768">
        <w:rPr>
          <w:rFonts w:ascii="Palatino Linotype" w:hAnsi="Palatino Linotype" w:cs="Arial"/>
        </w:rPr>
        <w:t xml:space="preserve"> a través del Sistema de Acceso a la Información Mexiquense, en adelante </w:t>
      </w:r>
      <w:r w:rsidRPr="00D84768">
        <w:rPr>
          <w:rFonts w:ascii="Palatino Linotype" w:hAnsi="Palatino Linotype" w:cs="Arial"/>
          <w:b/>
        </w:rPr>
        <w:t>SAIMEX,</w:t>
      </w:r>
      <w:r w:rsidRPr="00D84768">
        <w:rPr>
          <w:rFonts w:ascii="Palatino Linotype" w:hAnsi="Palatino Linotype" w:cs="Arial"/>
        </w:rPr>
        <w:t xml:space="preserve">  requiriéndole lo siguiente:</w:t>
      </w:r>
    </w:p>
    <w:p w14:paraId="777CDE7C" w14:textId="0453CA4D" w:rsidR="004F6DE4" w:rsidRPr="00D84768" w:rsidRDefault="009E5A7D" w:rsidP="009A65F3">
      <w:pPr>
        <w:autoSpaceDE w:val="0"/>
        <w:autoSpaceDN w:val="0"/>
        <w:adjustRightInd w:val="0"/>
        <w:ind w:left="851" w:right="900"/>
        <w:jc w:val="both"/>
        <w:rPr>
          <w:rFonts w:ascii="Palatino Linotype" w:hAnsi="Palatino Linotype" w:cs="Arial"/>
          <w:i/>
          <w:sz w:val="22"/>
          <w:szCs w:val="22"/>
        </w:rPr>
      </w:pPr>
      <w:r w:rsidRPr="00D84768">
        <w:rPr>
          <w:rFonts w:ascii="Palatino Linotype" w:hAnsi="Palatino Linotype" w:cs="Arial"/>
          <w:i/>
          <w:sz w:val="22"/>
          <w:szCs w:val="22"/>
        </w:rPr>
        <w:t>“</w:t>
      </w:r>
      <w:r w:rsidR="00053B57" w:rsidRPr="00D84768">
        <w:rPr>
          <w:rFonts w:ascii="Palatino Linotype" w:hAnsi="Palatino Linotype" w:cs="Arial"/>
          <w:i/>
          <w:sz w:val="22"/>
          <w:szCs w:val="22"/>
        </w:rPr>
        <w:t>En el comunicado de prensa visible en http://www.toluca.gob.mx/portfolio/entrega-fzm-equipamiento-historico-en-materia-de-seguridad-da-banderazo-a-38-nuevas-unidades/, se señala que "ENTREGA FZM EQUIPAMIENTO HISTÓRICO EN MATERIA DE SEGURIDAD; DA BANDERAZO A 38 NUEVAS UNIDADES", por tal motivo, solicito la entrega del expediente conformado con motivo del proceso de adquisición de las 38 patrullas, independientemente si se realizó la compra por licitación pública, invitación restringida o adjudicación directa. Así mismo, solicito copia de las facturas de cada una de las patrullas, nombre del proveedor, póliza de seguro de cada una de las patrullas</w:t>
      </w:r>
      <w:r w:rsidR="00DB48DE" w:rsidRPr="00D84768">
        <w:rPr>
          <w:rFonts w:ascii="Palatino Linotype" w:hAnsi="Palatino Linotype" w:cs="Arial"/>
          <w:i/>
          <w:sz w:val="22"/>
          <w:szCs w:val="22"/>
        </w:rPr>
        <w:t>.</w:t>
      </w:r>
      <w:r w:rsidR="008C0DB8" w:rsidRPr="00D84768">
        <w:rPr>
          <w:rFonts w:ascii="Palatino Linotype" w:hAnsi="Palatino Linotype" w:cs="Arial"/>
          <w:i/>
          <w:sz w:val="22"/>
          <w:szCs w:val="22"/>
        </w:rPr>
        <w:t xml:space="preserve"> </w:t>
      </w:r>
      <w:r w:rsidR="00ED6D1E" w:rsidRPr="00D84768">
        <w:rPr>
          <w:rFonts w:ascii="Palatino Linotype" w:hAnsi="Palatino Linotype" w:cs="Arial"/>
          <w:i/>
          <w:sz w:val="22"/>
          <w:szCs w:val="22"/>
        </w:rPr>
        <w:t>“</w:t>
      </w:r>
      <w:r w:rsidRPr="00D84768">
        <w:rPr>
          <w:rFonts w:ascii="Palatino Linotype" w:hAnsi="Palatino Linotype" w:cs="Arial"/>
          <w:i/>
          <w:sz w:val="22"/>
          <w:szCs w:val="22"/>
        </w:rPr>
        <w:t>(sic)</w:t>
      </w:r>
    </w:p>
    <w:p w14:paraId="4BF9E253" w14:textId="23BDB069" w:rsidR="0026697E" w:rsidRPr="00D84768" w:rsidRDefault="00FF6B97" w:rsidP="009A65F3">
      <w:pPr>
        <w:spacing w:before="240" w:after="240" w:line="360" w:lineRule="auto"/>
        <w:jc w:val="both"/>
        <w:rPr>
          <w:rFonts w:ascii="Palatino Linotype" w:hAnsi="Palatino Linotype" w:cs="Arial"/>
        </w:rPr>
      </w:pPr>
      <w:r w:rsidRPr="00D84768">
        <w:rPr>
          <w:rFonts w:ascii="Palatino Linotype" w:hAnsi="Palatino Linotype" w:cs="Arial"/>
          <w:b/>
        </w:rPr>
        <w:t>Modalidad</w:t>
      </w:r>
      <w:r w:rsidR="0026697E" w:rsidRPr="00D84768">
        <w:rPr>
          <w:rFonts w:ascii="Palatino Linotype" w:hAnsi="Palatino Linotype" w:cs="Arial"/>
          <w:b/>
        </w:rPr>
        <w:t xml:space="preserve"> elegida para la entrega de la información: </w:t>
      </w:r>
      <w:r w:rsidR="00C72F08" w:rsidRPr="00D84768">
        <w:rPr>
          <w:rFonts w:ascii="Palatino Linotype" w:hAnsi="Palatino Linotype" w:cs="Arial"/>
        </w:rPr>
        <w:t>a través del SAIMEX</w:t>
      </w:r>
      <w:r w:rsidR="0026697E" w:rsidRPr="00D84768">
        <w:rPr>
          <w:rFonts w:ascii="Palatino Linotype" w:hAnsi="Palatino Linotype" w:cs="Arial"/>
        </w:rPr>
        <w:t>.</w:t>
      </w:r>
    </w:p>
    <w:p w14:paraId="0E4FCFF9" w14:textId="397B5C61" w:rsidR="00A65346" w:rsidRPr="00D84768" w:rsidRDefault="00740D10" w:rsidP="009A65F3">
      <w:pPr>
        <w:spacing w:before="240" w:after="240" w:line="360" w:lineRule="auto"/>
        <w:jc w:val="both"/>
        <w:rPr>
          <w:rFonts w:ascii="Palatino Linotype" w:hAnsi="Palatino Linotype" w:cs="Arial"/>
        </w:rPr>
      </w:pPr>
      <w:r w:rsidRPr="00D84768">
        <w:rPr>
          <w:rFonts w:ascii="Palatino Linotype" w:hAnsi="Palatino Linotype" w:cs="Arial"/>
          <w:b/>
        </w:rPr>
        <w:lastRenderedPageBreak/>
        <w:t xml:space="preserve">2. </w:t>
      </w:r>
      <w:r w:rsidR="0004420F" w:rsidRPr="00D84768">
        <w:rPr>
          <w:rFonts w:ascii="Palatino Linotype" w:hAnsi="Palatino Linotype" w:cs="Arial"/>
          <w:b/>
        </w:rPr>
        <w:t xml:space="preserve">Respuesta. </w:t>
      </w:r>
      <w:r w:rsidR="00A65346" w:rsidRPr="00D84768">
        <w:rPr>
          <w:rFonts w:ascii="Palatino Linotype" w:hAnsi="Palatino Linotype" w:cs="Arial"/>
        </w:rPr>
        <w:t xml:space="preserve">Con fecha </w:t>
      </w:r>
      <w:r w:rsidR="00053B57" w:rsidRPr="00D84768">
        <w:rPr>
          <w:rFonts w:ascii="Palatino Linotype" w:hAnsi="Palatino Linotype" w:cs="Arial"/>
        </w:rPr>
        <w:t>diecinueve</w:t>
      </w:r>
      <w:r w:rsidR="00EA5AFB" w:rsidRPr="00D84768">
        <w:rPr>
          <w:rFonts w:ascii="Palatino Linotype" w:hAnsi="Palatino Linotype" w:cs="Arial"/>
        </w:rPr>
        <w:t xml:space="preserve"> </w:t>
      </w:r>
      <w:r w:rsidR="00883017" w:rsidRPr="00D84768">
        <w:rPr>
          <w:rFonts w:ascii="Palatino Linotype" w:hAnsi="Palatino Linotype" w:cs="Arial"/>
        </w:rPr>
        <w:t>de</w:t>
      </w:r>
      <w:r w:rsidR="008C0DB8" w:rsidRPr="00D84768">
        <w:rPr>
          <w:rFonts w:ascii="Palatino Linotype" w:hAnsi="Palatino Linotype" w:cs="Arial"/>
        </w:rPr>
        <w:t xml:space="preserve"> </w:t>
      </w:r>
      <w:r w:rsidR="00053B57" w:rsidRPr="00D84768">
        <w:rPr>
          <w:rFonts w:ascii="Palatino Linotype" w:hAnsi="Palatino Linotype" w:cs="Arial"/>
        </w:rPr>
        <w:t xml:space="preserve">noviembre </w:t>
      </w:r>
      <w:r w:rsidR="00A65346" w:rsidRPr="00D84768">
        <w:rPr>
          <w:rFonts w:ascii="Palatino Linotype" w:hAnsi="Palatino Linotype" w:cs="Arial"/>
        </w:rPr>
        <w:t>de dos mil dieci</w:t>
      </w:r>
      <w:r w:rsidR="0011135B" w:rsidRPr="00D84768">
        <w:rPr>
          <w:rFonts w:ascii="Palatino Linotype" w:hAnsi="Palatino Linotype" w:cs="Arial"/>
        </w:rPr>
        <w:t>ocho</w:t>
      </w:r>
      <w:r w:rsidR="00A65346" w:rsidRPr="00D84768">
        <w:rPr>
          <w:rFonts w:ascii="Palatino Linotype" w:hAnsi="Palatino Linotype" w:cs="Arial"/>
        </w:rPr>
        <w:t xml:space="preserve"> el </w:t>
      </w:r>
      <w:r w:rsidR="00A65346" w:rsidRPr="00D84768">
        <w:rPr>
          <w:rFonts w:ascii="Palatino Linotype" w:hAnsi="Palatino Linotype" w:cs="Arial"/>
          <w:b/>
        </w:rPr>
        <w:t>Sujeto Obligado</w:t>
      </w:r>
      <w:r w:rsidR="00A65346" w:rsidRPr="00D84768">
        <w:rPr>
          <w:rFonts w:ascii="Palatino Linotype" w:hAnsi="Palatino Linotype" w:cs="Arial"/>
        </w:rPr>
        <w:t xml:space="preserve"> envió su respuesta a la solicitud de acceso a la información a través del SAIMEX, la cual versa como sigue:</w:t>
      </w:r>
    </w:p>
    <w:p w14:paraId="2A41617D" w14:textId="6EF754DA" w:rsidR="00A65346" w:rsidRPr="00D84768" w:rsidRDefault="00A65346" w:rsidP="009A65F3">
      <w:pPr>
        <w:autoSpaceDE w:val="0"/>
        <w:autoSpaceDN w:val="0"/>
        <w:adjustRightInd w:val="0"/>
        <w:ind w:left="851" w:right="900"/>
        <w:jc w:val="both"/>
        <w:rPr>
          <w:rFonts w:ascii="Palatino Linotype" w:hAnsi="Palatino Linotype" w:cs="Arial"/>
          <w:i/>
          <w:sz w:val="22"/>
          <w:szCs w:val="22"/>
        </w:rPr>
      </w:pPr>
      <w:r w:rsidRPr="00D84768">
        <w:rPr>
          <w:rFonts w:ascii="Palatino Linotype" w:hAnsi="Palatino Linotype" w:cs="Arial"/>
          <w:i/>
          <w:sz w:val="22"/>
          <w:szCs w:val="22"/>
        </w:rPr>
        <w:t>“</w:t>
      </w:r>
      <w:r w:rsidR="00053B57" w:rsidRPr="00D84768">
        <w:rPr>
          <w:rFonts w:ascii="Palatino Linotype" w:hAnsi="Palatino Linotype" w:cs="Arial"/>
          <w:i/>
          <w:sz w:val="22"/>
          <w:szCs w:val="22"/>
        </w:rPr>
        <w:t>A efecto de dar respuesta su solicitud, la Dirección de Administración del Ayuntamiento de Toluca informa lo siguiente: A efecto de dar cumplimiento a la solicitud con número de folio 00519/TOLUCA/IP/2018, que fue presentada a través del Sistema de Acceso a la Información Mexiquense (SAIMEX); al respecto me permito comentarle que respecto a las patrullas, la información se encuentra públicada en IPOMEX, de acuerdo al artículo 92 de la Ley de Transparencia y Acceso a la Información Pública del Estado de México y Municipios, fracción XXIX A, "Resultados de Procedimientos de Licitación e Invitación a cuando menos tres personas": LPN-HAT-RP-13-2018 LPN-HAT-RP-15-2018 Se anexan Pólizas. Sin otro particular, por el momento reciba un cordial saludo. Así mismo la Tesorería municipal anexa las facturas solicitadas, previo acuerdo del comité de Transparencia. Gracias.</w:t>
      </w:r>
      <w:r w:rsidRPr="00D84768">
        <w:rPr>
          <w:rFonts w:ascii="Palatino Linotype" w:hAnsi="Palatino Linotype" w:cs="Arial"/>
          <w:i/>
          <w:sz w:val="22"/>
          <w:szCs w:val="22"/>
        </w:rPr>
        <w:t>”</w:t>
      </w:r>
      <w:r w:rsidR="008C0DB8" w:rsidRPr="00D84768">
        <w:rPr>
          <w:rFonts w:ascii="Palatino Linotype" w:hAnsi="Palatino Linotype" w:cs="Arial"/>
          <w:i/>
          <w:sz w:val="22"/>
          <w:szCs w:val="22"/>
        </w:rPr>
        <w:t xml:space="preserve"> (sic)</w:t>
      </w:r>
    </w:p>
    <w:p w14:paraId="5915CB89" w14:textId="310E8E31" w:rsidR="00EA5AFB" w:rsidRPr="00D84768" w:rsidRDefault="00EA5AFB" w:rsidP="00EA5AFB">
      <w:pPr>
        <w:spacing w:before="240" w:after="240" w:line="360" w:lineRule="auto"/>
        <w:jc w:val="both"/>
        <w:rPr>
          <w:rFonts w:ascii="Palatino Linotype" w:hAnsi="Palatino Linotype" w:cs="Arial"/>
        </w:rPr>
      </w:pPr>
      <w:r w:rsidRPr="00D84768">
        <w:rPr>
          <w:rFonts w:ascii="Palatino Linotype" w:hAnsi="Palatino Linotype" w:cs="Arial"/>
          <w:b/>
        </w:rPr>
        <w:t xml:space="preserve">Anexos. </w:t>
      </w:r>
      <w:r w:rsidRPr="00D84768">
        <w:rPr>
          <w:rFonts w:ascii="Palatino Linotype" w:hAnsi="Palatino Linotype" w:cs="Arial"/>
        </w:rPr>
        <w:t xml:space="preserve">Junto con la respuesta a la solicitud, el Sujeto Obligado remitió </w:t>
      </w:r>
      <w:r w:rsidR="00053B57" w:rsidRPr="00D84768">
        <w:rPr>
          <w:rFonts w:ascii="Palatino Linotype" w:hAnsi="Palatino Linotype" w:cs="Arial"/>
        </w:rPr>
        <w:t xml:space="preserve">el documento denominado “38 FACTURAS DE PATRULLAS.pdf” </w:t>
      </w:r>
      <w:r w:rsidR="00150C0E" w:rsidRPr="00D84768">
        <w:rPr>
          <w:rFonts w:ascii="Palatino Linotype" w:hAnsi="Palatino Linotype" w:cs="Arial"/>
        </w:rPr>
        <w:t>el cual contiene treinta y ocho fojas que contienen las facturas de las patrullas de diversos vehículos expedidas a favor del Ayuntamiento de Toluca</w:t>
      </w:r>
      <w:r w:rsidR="00EA3F80" w:rsidRPr="00D84768">
        <w:rPr>
          <w:rFonts w:ascii="Palatino Linotype" w:hAnsi="Palatino Linotype" w:cs="Arial"/>
        </w:rPr>
        <w:t xml:space="preserve"> en versión pública sin remitir el Acuerdo correspondiente.</w:t>
      </w:r>
    </w:p>
    <w:p w14:paraId="204B7B1F" w14:textId="1DD55B01" w:rsidR="009E5A7D" w:rsidRPr="00D84768" w:rsidRDefault="004D422B" w:rsidP="009A65F3">
      <w:pPr>
        <w:spacing w:before="240" w:after="240" w:line="360" w:lineRule="auto"/>
        <w:jc w:val="both"/>
        <w:rPr>
          <w:rFonts w:ascii="Palatino Linotype" w:hAnsi="Palatino Linotype" w:cs="Arial"/>
          <w:b/>
        </w:rPr>
      </w:pPr>
      <w:r w:rsidRPr="00D84768">
        <w:rPr>
          <w:rFonts w:ascii="Palatino Linotype" w:hAnsi="Palatino Linotype" w:cs="Arial"/>
          <w:b/>
        </w:rPr>
        <w:t>3</w:t>
      </w:r>
      <w:r w:rsidR="009E5A7D" w:rsidRPr="00D84768">
        <w:rPr>
          <w:rFonts w:ascii="Palatino Linotype" w:hAnsi="Palatino Linotype" w:cs="Arial"/>
          <w:b/>
        </w:rPr>
        <w:t xml:space="preserve">. Interposición del recurso de revisión. </w:t>
      </w:r>
      <w:r w:rsidR="009E5A7D" w:rsidRPr="00D84768">
        <w:rPr>
          <w:rFonts w:ascii="Palatino Linotype" w:hAnsi="Palatino Linotype" w:cs="Arial"/>
        </w:rPr>
        <w:t xml:space="preserve">Inconforme </w:t>
      </w:r>
      <w:r w:rsidR="00F56F30" w:rsidRPr="00D84768">
        <w:rPr>
          <w:rFonts w:ascii="Palatino Linotype" w:hAnsi="Palatino Linotype" w:cs="Arial"/>
        </w:rPr>
        <w:t>e</w:t>
      </w:r>
      <w:r w:rsidR="009E5A7D" w:rsidRPr="00D84768">
        <w:rPr>
          <w:rFonts w:ascii="Palatino Linotype" w:hAnsi="Palatino Linotype" w:cs="Arial"/>
        </w:rPr>
        <w:t>l solicitante con la</w:t>
      </w:r>
      <w:r w:rsidR="004817F9" w:rsidRPr="00D84768">
        <w:rPr>
          <w:rFonts w:ascii="Palatino Linotype" w:hAnsi="Palatino Linotype" w:cs="Arial"/>
        </w:rPr>
        <w:t xml:space="preserve"> </w:t>
      </w:r>
      <w:r w:rsidR="009E5A7D" w:rsidRPr="00D84768">
        <w:rPr>
          <w:rFonts w:ascii="Palatino Linotype" w:hAnsi="Palatino Linotype" w:cs="Arial"/>
        </w:rPr>
        <w:t xml:space="preserve">respuesta del </w:t>
      </w:r>
      <w:r w:rsidR="009E5A7D" w:rsidRPr="00D84768">
        <w:rPr>
          <w:rFonts w:ascii="Palatino Linotype" w:hAnsi="Palatino Linotype" w:cs="Arial"/>
          <w:b/>
        </w:rPr>
        <w:t>Sujeto Obligado</w:t>
      </w:r>
      <w:r w:rsidR="009E5A7D" w:rsidRPr="00D84768">
        <w:rPr>
          <w:rFonts w:ascii="Palatino Linotype" w:hAnsi="Palatino Linotype" w:cs="Arial"/>
        </w:rPr>
        <w:t xml:space="preserve"> interpuso recurso de revisión a través del SAIMEX en fecha </w:t>
      </w:r>
      <w:r w:rsidR="00B81EB5" w:rsidRPr="00D84768">
        <w:rPr>
          <w:rFonts w:ascii="Palatino Linotype" w:hAnsi="Palatino Linotype" w:cs="Arial"/>
        </w:rPr>
        <w:t>treinta</w:t>
      </w:r>
      <w:r w:rsidR="005C4194" w:rsidRPr="00D84768">
        <w:rPr>
          <w:rFonts w:ascii="Palatino Linotype" w:hAnsi="Palatino Linotype" w:cs="Arial"/>
        </w:rPr>
        <w:t xml:space="preserve"> </w:t>
      </w:r>
      <w:r w:rsidR="009E5A7D" w:rsidRPr="00D84768">
        <w:rPr>
          <w:rFonts w:ascii="Palatino Linotype" w:hAnsi="Palatino Linotype" w:cs="Arial"/>
        </w:rPr>
        <w:t xml:space="preserve">de </w:t>
      </w:r>
      <w:r w:rsidR="00B81EB5" w:rsidRPr="00D84768">
        <w:rPr>
          <w:rFonts w:ascii="Palatino Linotype" w:hAnsi="Palatino Linotype" w:cs="Arial"/>
        </w:rPr>
        <w:t xml:space="preserve">noviembre </w:t>
      </w:r>
      <w:r w:rsidR="009E5A7D" w:rsidRPr="00D84768">
        <w:rPr>
          <w:rFonts w:ascii="Palatino Linotype" w:hAnsi="Palatino Linotype" w:cs="Arial"/>
        </w:rPr>
        <w:t xml:space="preserve">de dos mil </w:t>
      </w:r>
      <w:r w:rsidR="00155EE8" w:rsidRPr="00D84768">
        <w:rPr>
          <w:rFonts w:ascii="Palatino Linotype" w:hAnsi="Palatino Linotype" w:cs="Arial"/>
        </w:rPr>
        <w:t>diec</w:t>
      </w:r>
      <w:r w:rsidR="00E132B7" w:rsidRPr="00D84768">
        <w:rPr>
          <w:rFonts w:ascii="Palatino Linotype" w:hAnsi="Palatino Linotype" w:cs="Arial"/>
        </w:rPr>
        <w:t>iocho</w:t>
      </w:r>
      <w:r w:rsidR="009E5A7D" w:rsidRPr="00D84768">
        <w:rPr>
          <w:rFonts w:ascii="Palatino Linotype" w:hAnsi="Palatino Linotype" w:cs="Arial"/>
        </w:rPr>
        <w:t>, a través del cual expresó lo siguiente:</w:t>
      </w:r>
    </w:p>
    <w:p w14:paraId="0ABF263D" w14:textId="77777777" w:rsidR="009E5A7D" w:rsidRPr="00D84768" w:rsidRDefault="009E5A7D" w:rsidP="009A65F3">
      <w:pPr>
        <w:spacing w:line="360" w:lineRule="auto"/>
        <w:jc w:val="both"/>
        <w:rPr>
          <w:rFonts w:ascii="Palatino Linotype" w:hAnsi="Palatino Linotype" w:cs="Arial"/>
          <w:b/>
        </w:rPr>
      </w:pPr>
      <w:r w:rsidRPr="00D84768">
        <w:rPr>
          <w:rFonts w:ascii="Palatino Linotype" w:hAnsi="Palatino Linotype" w:cs="Arial"/>
          <w:b/>
        </w:rPr>
        <w:t>a) Acto impugnado.</w:t>
      </w:r>
    </w:p>
    <w:p w14:paraId="622A9AB2" w14:textId="7737B3C2" w:rsidR="009E5A7D" w:rsidRPr="00D84768" w:rsidRDefault="009E5A7D" w:rsidP="009A65F3">
      <w:pPr>
        <w:spacing w:before="240" w:after="240"/>
        <w:ind w:left="708" w:right="900"/>
        <w:jc w:val="both"/>
        <w:rPr>
          <w:rFonts w:ascii="Palatino Linotype" w:hAnsi="Palatino Linotype" w:cs="Arial"/>
          <w:i/>
          <w:sz w:val="22"/>
          <w:szCs w:val="22"/>
        </w:rPr>
      </w:pPr>
      <w:r w:rsidRPr="00D84768">
        <w:rPr>
          <w:rFonts w:ascii="Palatino Linotype" w:hAnsi="Palatino Linotype" w:cs="Arial"/>
          <w:i/>
          <w:sz w:val="22"/>
          <w:szCs w:val="22"/>
        </w:rPr>
        <w:t>“</w:t>
      </w:r>
      <w:r w:rsidR="00B81EB5" w:rsidRPr="00D84768">
        <w:rPr>
          <w:rFonts w:ascii="Palatino Linotype" w:hAnsi="Palatino Linotype" w:cs="Arial"/>
          <w:i/>
          <w:sz w:val="22"/>
          <w:szCs w:val="22"/>
        </w:rPr>
        <w:t>La incompleta respuesta del sujeto obligado</w:t>
      </w:r>
      <w:r w:rsidRPr="00D84768">
        <w:rPr>
          <w:rFonts w:ascii="Palatino Linotype" w:hAnsi="Palatino Linotype" w:cs="Arial"/>
          <w:i/>
          <w:sz w:val="22"/>
          <w:szCs w:val="22"/>
        </w:rPr>
        <w:t>” (sic)</w:t>
      </w:r>
    </w:p>
    <w:p w14:paraId="177D82C5" w14:textId="77777777" w:rsidR="009E5A7D" w:rsidRPr="00D84768" w:rsidRDefault="009E5A7D" w:rsidP="009A65F3">
      <w:pPr>
        <w:spacing w:line="360" w:lineRule="auto"/>
        <w:jc w:val="both"/>
        <w:rPr>
          <w:rFonts w:ascii="Palatino Linotype" w:hAnsi="Palatino Linotype" w:cs="Arial"/>
          <w:b/>
        </w:rPr>
      </w:pPr>
      <w:r w:rsidRPr="00D84768">
        <w:rPr>
          <w:rFonts w:ascii="Palatino Linotype" w:hAnsi="Palatino Linotype" w:cs="Arial"/>
          <w:b/>
        </w:rPr>
        <w:t>b) Motivos de inconformidad.</w:t>
      </w:r>
    </w:p>
    <w:p w14:paraId="450E8CD1" w14:textId="58BB1613" w:rsidR="009E5A7D" w:rsidRPr="00D84768" w:rsidRDefault="009E5A7D" w:rsidP="009A65F3">
      <w:pPr>
        <w:spacing w:before="240" w:after="240"/>
        <w:ind w:left="708" w:right="900"/>
        <w:jc w:val="both"/>
        <w:rPr>
          <w:rFonts w:ascii="Palatino Linotype" w:hAnsi="Palatino Linotype" w:cs="Arial"/>
          <w:i/>
          <w:sz w:val="22"/>
          <w:szCs w:val="22"/>
        </w:rPr>
      </w:pPr>
      <w:r w:rsidRPr="00D84768">
        <w:rPr>
          <w:rFonts w:ascii="Palatino Linotype" w:hAnsi="Palatino Linotype" w:cs="Arial"/>
          <w:i/>
          <w:sz w:val="22"/>
          <w:szCs w:val="22"/>
        </w:rPr>
        <w:lastRenderedPageBreak/>
        <w:t>“</w:t>
      </w:r>
      <w:r w:rsidR="00B81EB5" w:rsidRPr="00D84768">
        <w:rPr>
          <w:rFonts w:ascii="Palatino Linotype" w:hAnsi="Palatino Linotype" w:cs="Arial"/>
          <w:i/>
          <w:sz w:val="22"/>
          <w:szCs w:val="22"/>
        </w:rPr>
        <w:t>El sujeto obligado respondió que "A efecto de dar respuesta su solicitud, la Dirección de Administración del Ayuntamiento de Toluca informa lo siguiente: A efecto de dar cumplimiento a la solicitud con número de folio 00519/TOLUCA/IP/2018, que fue presentada a través del Sistema de Acceso a la Información Mexiquense (SAIMEX); al respecto me permito comentarle que respecto a las patrullas, la información se encuentra públicada en IPOMEX, de acuerdo al artículo 92 de la Ley de Transparencia y Acceso a la Información Pública del Estado de México y Municipios, fracción XXIX A, "Resultados de Procedimientos de Licitación e Invitación a cuando menos tres personas": LPN-HAT-RP-13-2018 LPN-HAT-RP-15-2018 Se anexan Pólizas. Sin otro particular, por el momento reciba un cordial saludo. Así mismo la Tesorería municipal anexa las facturas solicitadas, previo acuerdo del comité de Transparencia. Gracias." En este sentido, la respuesta dada por el sujeto obligado es incompleta en virtud de lo siguiente: 1. Se solicito la entrega del expediente conformado con motivo del proceso de adquisición de las 38 patrullas, independientemente si se realizó la compra por licitación pública, invitación restringida o adjudicación directa. En este sentido el sujeto obligado pretende dirigir su respuesta hacia la consulta en el IPOMEX, sin señalar el enlace electrónico en el cual se encuentra la información.No obstante, al revisarse el IPOMEX bajo los parámetros dados por el titular de la unidad de transparencia, en el rubro "Resultados de Procedimientos de Licitación e Invitación a cuando menos tres personas", no se localizan los procedimientos LPN-HAT-RP-13-2018 LPN-HAT-RP-15-2018. 2. El sujeto obligado únicamente hizo entrega de copia de las facturas de cada una de las patrullas, así como el nombre del proveedor. Sin embargo, no adjunta el acuerdo de clasificación de información confidencial correspondiente. 3. Pese a que en su respuesta el sujeto obligado señaló entregar la póliza de seguro de cada una de las patrullas, lo cierto es que dichas pólizas no me fueron entregadas.</w:t>
      </w:r>
      <w:r w:rsidRPr="00D84768">
        <w:rPr>
          <w:rFonts w:ascii="Palatino Linotype" w:hAnsi="Palatino Linotype" w:cs="Arial"/>
          <w:i/>
          <w:sz w:val="22"/>
          <w:szCs w:val="22"/>
        </w:rPr>
        <w:t>” (sic)</w:t>
      </w:r>
    </w:p>
    <w:p w14:paraId="30960AC9" w14:textId="27E60BFF" w:rsidR="009D2140" w:rsidRPr="00D84768" w:rsidRDefault="004D422B" w:rsidP="009A65F3">
      <w:pPr>
        <w:spacing w:before="240" w:after="240" w:line="360" w:lineRule="auto"/>
        <w:jc w:val="both"/>
        <w:rPr>
          <w:rFonts w:ascii="Palatino Linotype" w:hAnsi="Palatino Linotype"/>
        </w:rPr>
      </w:pPr>
      <w:r w:rsidRPr="00D84768">
        <w:rPr>
          <w:rFonts w:ascii="Palatino Linotype" w:hAnsi="Palatino Linotype"/>
          <w:b/>
        </w:rPr>
        <w:t>4</w:t>
      </w:r>
      <w:r w:rsidR="00A93331" w:rsidRPr="00D84768">
        <w:rPr>
          <w:rFonts w:ascii="Palatino Linotype" w:hAnsi="Palatino Linotype"/>
          <w:b/>
        </w:rPr>
        <w:t xml:space="preserve">. Turno. </w:t>
      </w:r>
      <w:r w:rsidR="00A93331" w:rsidRPr="00D84768">
        <w:rPr>
          <w:rFonts w:ascii="Palatino Linotype" w:hAnsi="Palatino Linotype"/>
        </w:rPr>
        <w:t xml:space="preserve">De conformidad con el artículo 185, fracción I de la </w:t>
      </w:r>
      <w:r w:rsidR="009D2140" w:rsidRPr="00D84768">
        <w:rPr>
          <w:rFonts w:ascii="Palatino Linotype" w:hAnsi="Palatino Linotype" w:cs="Arial"/>
        </w:rPr>
        <w:t xml:space="preserve">Ley de Transparencia </w:t>
      </w:r>
      <w:r w:rsidR="00A93331" w:rsidRPr="00D84768">
        <w:rPr>
          <w:rFonts w:ascii="Palatino Linotype" w:hAnsi="Palatino Linotype" w:cs="Arial"/>
        </w:rPr>
        <w:t xml:space="preserve">y Acceso a la Información Pública del Estado de México y Municipios, el recurso de revisión número </w:t>
      </w:r>
      <w:r w:rsidR="008C0DB8" w:rsidRPr="00D84768">
        <w:rPr>
          <w:rFonts w:ascii="Palatino Linotype" w:hAnsi="Palatino Linotype" w:cs="Arial"/>
          <w:b/>
        </w:rPr>
        <w:t>0</w:t>
      </w:r>
      <w:r w:rsidR="006E79A4" w:rsidRPr="00D84768">
        <w:rPr>
          <w:rFonts w:ascii="Palatino Linotype" w:hAnsi="Palatino Linotype" w:cs="Arial"/>
          <w:b/>
        </w:rPr>
        <w:t>45</w:t>
      </w:r>
      <w:r w:rsidR="00B81EB5" w:rsidRPr="00D84768">
        <w:rPr>
          <w:rFonts w:ascii="Palatino Linotype" w:hAnsi="Palatino Linotype" w:cs="Arial"/>
          <w:b/>
        </w:rPr>
        <w:t>7</w:t>
      </w:r>
      <w:r w:rsidR="008C0DB8" w:rsidRPr="00D84768">
        <w:rPr>
          <w:rFonts w:ascii="Palatino Linotype" w:hAnsi="Palatino Linotype" w:cs="Arial"/>
          <w:b/>
        </w:rPr>
        <w:t>4</w:t>
      </w:r>
      <w:r w:rsidR="00EB4790" w:rsidRPr="00D84768">
        <w:rPr>
          <w:rFonts w:ascii="Palatino Linotype" w:hAnsi="Palatino Linotype" w:cs="Arial"/>
          <w:b/>
        </w:rPr>
        <w:t>/INFOEM/IP/RR/2018</w:t>
      </w:r>
      <w:r w:rsidR="00A93331" w:rsidRPr="00D84768">
        <w:rPr>
          <w:rFonts w:ascii="Palatino Linotype" w:hAnsi="Palatino Linotype" w:cs="Arial"/>
          <w:b/>
        </w:rPr>
        <w:t xml:space="preserve"> </w:t>
      </w:r>
      <w:r w:rsidR="00A93331" w:rsidRPr="00D84768">
        <w:rPr>
          <w:rFonts w:ascii="Palatino Linotype" w:hAnsi="Palatino Linotype" w:cs="Arial"/>
          <w:bCs/>
          <w:lang w:eastAsia="es-MX"/>
        </w:rPr>
        <w:t>fue</w:t>
      </w:r>
      <w:r w:rsidR="00A93331" w:rsidRPr="00D84768">
        <w:rPr>
          <w:rFonts w:ascii="Palatino Linotype" w:hAnsi="Palatino Linotype" w:cs="Arial"/>
          <w:b/>
          <w:bCs/>
          <w:lang w:eastAsia="es-MX"/>
        </w:rPr>
        <w:t xml:space="preserve"> </w:t>
      </w:r>
      <w:r w:rsidR="00A93331" w:rsidRPr="00D84768">
        <w:rPr>
          <w:rFonts w:ascii="Palatino Linotype" w:hAnsi="Palatino Linotype"/>
        </w:rPr>
        <w:t xml:space="preserve">turnado al Comisionado ponente, a efecto de que analizara sobre su admisión o su </w:t>
      </w:r>
      <w:r w:rsidR="009D2140" w:rsidRPr="00D84768">
        <w:rPr>
          <w:rFonts w:ascii="Palatino Linotype" w:hAnsi="Palatino Linotype"/>
        </w:rPr>
        <w:t>desechamiento.</w:t>
      </w:r>
    </w:p>
    <w:p w14:paraId="2F1123DE" w14:textId="35C06643" w:rsidR="00A93331" w:rsidRPr="00D84768" w:rsidRDefault="004D422B" w:rsidP="009A65F3">
      <w:pPr>
        <w:spacing w:before="240" w:after="240" w:line="360" w:lineRule="auto"/>
        <w:jc w:val="both"/>
        <w:rPr>
          <w:rFonts w:ascii="Palatino Linotype" w:hAnsi="Palatino Linotype" w:cs="Arial"/>
        </w:rPr>
      </w:pPr>
      <w:r w:rsidRPr="00D84768">
        <w:rPr>
          <w:rFonts w:ascii="Palatino Linotype" w:hAnsi="Palatino Linotype" w:cs="Arial"/>
          <w:b/>
        </w:rPr>
        <w:t>5</w:t>
      </w:r>
      <w:r w:rsidR="00A93331" w:rsidRPr="00D84768">
        <w:rPr>
          <w:rFonts w:ascii="Palatino Linotype" w:hAnsi="Palatino Linotype" w:cs="Arial"/>
          <w:b/>
        </w:rPr>
        <w:t xml:space="preserve">. Admisión del recurso de revisión: </w:t>
      </w:r>
      <w:r w:rsidR="005F1715" w:rsidRPr="00D84768">
        <w:rPr>
          <w:rFonts w:ascii="Palatino Linotype" w:hAnsi="Palatino Linotype" w:cs="Arial"/>
        </w:rPr>
        <w:t xml:space="preserve">En fecha </w:t>
      </w:r>
      <w:r w:rsidR="009F0B02" w:rsidRPr="00D84768">
        <w:rPr>
          <w:rFonts w:ascii="Palatino Linotype" w:hAnsi="Palatino Linotype" w:cs="Arial"/>
        </w:rPr>
        <w:t>seis</w:t>
      </w:r>
      <w:r w:rsidR="000A7B31" w:rsidRPr="00D84768">
        <w:rPr>
          <w:rFonts w:ascii="Palatino Linotype" w:hAnsi="Palatino Linotype" w:cs="Arial"/>
        </w:rPr>
        <w:t xml:space="preserve"> </w:t>
      </w:r>
      <w:r w:rsidR="00A93331" w:rsidRPr="00D84768">
        <w:rPr>
          <w:rFonts w:ascii="Palatino Linotype" w:hAnsi="Palatino Linotype" w:cs="Arial"/>
        </w:rPr>
        <w:t>de</w:t>
      </w:r>
      <w:r w:rsidR="005F1715" w:rsidRPr="00D84768">
        <w:rPr>
          <w:rFonts w:ascii="Palatino Linotype" w:hAnsi="Palatino Linotype" w:cs="Arial"/>
        </w:rPr>
        <w:t xml:space="preserve"> </w:t>
      </w:r>
      <w:r w:rsidR="009F0B02" w:rsidRPr="00D84768">
        <w:rPr>
          <w:rFonts w:ascii="Palatino Linotype" w:hAnsi="Palatino Linotype" w:cs="Arial"/>
        </w:rPr>
        <w:t>diciemb</w:t>
      </w:r>
      <w:r w:rsidR="000A7B31" w:rsidRPr="00D84768">
        <w:rPr>
          <w:rFonts w:ascii="Palatino Linotype" w:hAnsi="Palatino Linotype" w:cs="Arial"/>
        </w:rPr>
        <w:t xml:space="preserve">re </w:t>
      </w:r>
      <w:r w:rsidR="00155EE8" w:rsidRPr="00D84768">
        <w:rPr>
          <w:rFonts w:ascii="Palatino Linotype" w:hAnsi="Palatino Linotype" w:cs="Arial"/>
        </w:rPr>
        <w:t>de dos mil dieci</w:t>
      </w:r>
      <w:r w:rsidR="00EB4790" w:rsidRPr="00D84768">
        <w:rPr>
          <w:rFonts w:ascii="Palatino Linotype" w:hAnsi="Palatino Linotype" w:cs="Arial"/>
        </w:rPr>
        <w:t>ocho</w:t>
      </w:r>
      <w:r w:rsidR="00A93331" w:rsidRPr="00D84768">
        <w:rPr>
          <w:rFonts w:ascii="Palatino Linotype" w:hAnsi="Palatino Linotype" w:cs="Arial"/>
        </w:rPr>
        <w:t xml:space="preserve">, este Instituto de Transparencia, Acceso a la Información Pública y Protección de Datos Personales del Estado de México y Municipios, admitió a </w:t>
      </w:r>
      <w:r w:rsidR="00A93331" w:rsidRPr="00D84768">
        <w:rPr>
          <w:rFonts w:ascii="Palatino Linotype" w:hAnsi="Palatino Linotype" w:cs="Arial"/>
        </w:rPr>
        <w:lastRenderedPageBreak/>
        <w:t>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6D14444" w14:textId="5CB52342" w:rsidR="000A7B31" w:rsidRPr="00D84768" w:rsidRDefault="004D422B" w:rsidP="000A7B31">
      <w:pPr>
        <w:spacing w:after="240" w:line="360" w:lineRule="auto"/>
        <w:jc w:val="both"/>
        <w:rPr>
          <w:rFonts w:ascii="Palatino Linotype" w:hAnsi="Palatino Linotype" w:cs="Arial"/>
        </w:rPr>
      </w:pPr>
      <w:r w:rsidRPr="00D84768">
        <w:rPr>
          <w:rFonts w:ascii="Palatino Linotype" w:hAnsi="Palatino Linotype" w:cs="Arial"/>
          <w:b/>
        </w:rPr>
        <w:t>6</w:t>
      </w:r>
      <w:r w:rsidR="00A93331" w:rsidRPr="00D84768">
        <w:rPr>
          <w:rFonts w:ascii="Palatino Linotype" w:hAnsi="Palatino Linotype" w:cs="Arial"/>
          <w:b/>
        </w:rPr>
        <w:t xml:space="preserve">. Manifestaciones: </w:t>
      </w:r>
      <w:r w:rsidR="000A7B31" w:rsidRPr="00D84768">
        <w:rPr>
          <w:rFonts w:ascii="Palatino Linotype" w:hAnsi="Palatino Linotype" w:cs="Arial"/>
        </w:rPr>
        <w:t xml:space="preserve">De las constancias que integran el expediente en que se actúa se advierte que en fecha </w:t>
      </w:r>
      <w:r w:rsidR="008660D9" w:rsidRPr="00D84768">
        <w:rPr>
          <w:rFonts w:ascii="Palatino Linotype" w:hAnsi="Palatino Linotype" w:cs="Arial"/>
        </w:rPr>
        <w:t xml:space="preserve">diecisiete de diciembre </w:t>
      </w:r>
      <w:r w:rsidR="000A7B31" w:rsidRPr="00D84768">
        <w:rPr>
          <w:rFonts w:ascii="Palatino Linotype" w:hAnsi="Palatino Linotype" w:cs="Arial"/>
        </w:rPr>
        <w:t xml:space="preserve">de dos mil dieciocho el Sujeto Obligado remitió </w:t>
      </w:r>
      <w:r w:rsidR="008660D9" w:rsidRPr="00D84768">
        <w:rPr>
          <w:rFonts w:ascii="Palatino Linotype" w:hAnsi="Palatino Linotype" w:cs="Arial"/>
        </w:rPr>
        <w:t>diez archivos electrónicos, los cuales se describen a continuación:</w:t>
      </w:r>
    </w:p>
    <w:p w14:paraId="4B5A27C9" w14:textId="3A19EC30" w:rsidR="008660D9" w:rsidRPr="00D84768" w:rsidRDefault="008660D9" w:rsidP="000A7B31">
      <w:pPr>
        <w:spacing w:after="240" w:line="360" w:lineRule="auto"/>
        <w:jc w:val="both"/>
        <w:rPr>
          <w:rFonts w:ascii="Palatino Linotype" w:hAnsi="Palatino Linotype" w:cs="Arial"/>
        </w:rPr>
      </w:pPr>
      <w:r w:rsidRPr="00D84768">
        <w:rPr>
          <w:rFonts w:ascii="Palatino Linotype" w:hAnsi="Palatino Linotype" w:cs="Arial"/>
        </w:rPr>
        <w:t>-“EscaneoRR 045745.pdf”:</w:t>
      </w:r>
      <w:r w:rsidR="00674CCB" w:rsidRPr="00D84768">
        <w:rPr>
          <w:rFonts w:ascii="Palatino Linotype" w:hAnsi="Palatino Linotype" w:cs="Arial"/>
        </w:rPr>
        <w:t xml:space="preserve"> Se trata del oficio 202001000/2977/2018 de fecha treinta de octubre de dos mil dieciocho, a través del cual se solicita a “SEGUROS SURA S.A. DE C.V.” el aseguramiento de veinte unidades de reciente adquisición. </w:t>
      </w:r>
    </w:p>
    <w:p w14:paraId="20EE8A25" w14:textId="7A366B67" w:rsidR="00674CCB" w:rsidRPr="00D84768" w:rsidRDefault="008660D9" w:rsidP="00674CCB">
      <w:pPr>
        <w:spacing w:after="240" w:line="360" w:lineRule="auto"/>
        <w:jc w:val="both"/>
        <w:rPr>
          <w:rFonts w:ascii="Palatino Linotype" w:hAnsi="Palatino Linotype" w:cs="Arial"/>
        </w:rPr>
      </w:pPr>
      <w:r w:rsidRPr="00D84768">
        <w:rPr>
          <w:rFonts w:ascii="Palatino Linotype" w:hAnsi="Palatino Linotype" w:cs="Arial"/>
        </w:rPr>
        <w:t>-“EscaneoRR 045741.pdf”:</w:t>
      </w:r>
      <w:r w:rsidR="00674CCB" w:rsidRPr="00D84768">
        <w:rPr>
          <w:rFonts w:ascii="Palatino Linotype" w:hAnsi="Palatino Linotype" w:cs="Arial"/>
        </w:rPr>
        <w:t xml:space="preserve"> Consta del oficio 209001002/0857/2018 a través del cual el Titular de la Unidad de Transparencia solicita al Director de Administración la información que dé respuesta a la solicitud punto por punto, en un periodo de tres días.</w:t>
      </w:r>
    </w:p>
    <w:p w14:paraId="767E1846" w14:textId="2EAD8A2D" w:rsidR="008660D9" w:rsidRPr="00D84768" w:rsidRDefault="008660D9" w:rsidP="000A7B31">
      <w:pPr>
        <w:spacing w:after="240" w:line="360" w:lineRule="auto"/>
        <w:jc w:val="both"/>
        <w:rPr>
          <w:rFonts w:ascii="Palatino Linotype" w:hAnsi="Palatino Linotype" w:cs="Arial"/>
        </w:rPr>
      </w:pPr>
      <w:r w:rsidRPr="00D84768">
        <w:rPr>
          <w:rFonts w:ascii="Palatino Linotype" w:hAnsi="Palatino Linotype" w:cs="Arial"/>
        </w:rPr>
        <w:t>-“EscaneoRR 045743.pdf”:</w:t>
      </w:r>
      <w:r w:rsidR="00D113B8" w:rsidRPr="00D84768">
        <w:rPr>
          <w:rFonts w:ascii="Palatino Linotype" w:hAnsi="Palatino Linotype" w:cs="Arial"/>
        </w:rPr>
        <w:t xml:space="preserve"> Oficio 202001204/128/2018 de fecha seis de diciembre de dos mil dieciocho, signado por el Jefe de Departamento de Control Patrimonial y dirigido al Director de Administración, a través del cual informa que adjunta los oficios turnados a seguros SURA S.A. de C.V.</w:t>
      </w:r>
    </w:p>
    <w:p w14:paraId="055CB976" w14:textId="34D58253" w:rsidR="008660D9" w:rsidRPr="00D84768" w:rsidRDefault="008660D9" w:rsidP="000A7B31">
      <w:pPr>
        <w:spacing w:after="240" w:line="360" w:lineRule="auto"/>
        <w:jc w:val="both"/>
        <w:rPr>
          <w:rFonts w:ascii="Palatino Linotype" w:hAnsi="Palatino Linotype" w:cs="Arial"/>
        </w:rPr>
      </w:pPr>
      <w:r w:rsidRPr="00D84768">
        <w:rPr>
          <w:rFonts w:ascii="Palatino Linotype" w:hAnsi="Palatino Linotype" w:cs="Arial"/>
        </w:rPr>
        <w:t>-“EscaneoRR 045744.pdf”:</w:t>
      </w:r>
      <w:r w:rsidR="006455AB" w:rsidRPr="00D84768">
        <w:rPr>
          <w:rFonts w:ascii="Palatino Linotype" w:hAnsi="Palatino Linotype" w:cs="Arial"/>
        </w:rPr>
        <w:t xml:space="preserve"> </w:t>
      </w:r>
      <w:r w:rsidR="00FB72A9" w:rsidRPr="00D84768">
        <w:rPr>
          <w:rFonts w:ascii="Palatino Linotype" w:hAnsi="Palatino Linotype" w:cs="Arial"/>
        </w:rPr>
        <w:t>Contiene el oficio 202001000/2810/2018 de fecha quince de octubre del año dos mil dieciocho, a través del cual el Director de Administración solicita a Seguros SURA S.A. de C.V. su poyo para el aseguramiento de 18 unidades de reciente adquisicón.</w:t>
      </w:r>
    </w:p>
    <w:p w14:paraId="4663E938" w14:textId="76E6A515" w:rsidR="008660D9" w:rsidRPr="00D84768" w:rsidRDefault="008660D9" w:rsidP="000A7B31">
      <w:pPr>
        <w:spacing w:after="240" w:line="360" w:lineRule="auto"/>
        <w:jc w:val="both"/>
        <w:rPr>
          <w:rFonts w:ascii="Palatino Linotype" w:hAnsi="Palatino Linotype" w:cs="Arial"/>
        </w:rPr>
      </w:pPr>
      <w:r w:rsidRPr="00D84768">
        <w:rPr>
          <w:rFonts w:ascii="Palatino Linotype" w:hAnsi="Palatino Linotype" w:cs="Arial"/>
        </w:rPr>
        <w:lastRenderedPageBreak/>
        <w:t>- “EscaneoRR 045742.pdf:</w:t>
      </w:r>
      <w:r w:rsidR="00FB72A9" w:rsidRPr="00D84768">
        <w:rPr>
          <w:rFonts w:ascii="Palatino Linotype" w:hAnsi="Palatino Linotype" w:cs="Arial"/>
        </w:rPr>
        <w:t xml:space="preserve"> Contiene la parte p</w:t>
      </w:r>
      <w:r w:rsidR="002A5B60" w:rsidRPr="00D84768">
        <w:rPr>
          <w:rFonts w:ascii="Palatino Linotype" w:hAnsi="Palatino Linotype" w:cs="Arial"/>
        </w:rPr>
        <w:t xml:space="preserve">osterior del oficio signado por </w:t>
      </w:r>
      <w:r w:rsidR="00FB72A9" w:rsidRPr="00D84768">
        <w:rPr>
          <w:rFonts w:ascii="Palatino Linotype" w:hAnsi="Palatino Linotype" w:cs="Arial"/>
        </w:rPr>
        <w:t>el Director de Administración.</w:t>
      </w:r>
    </w:p>
    <w:p w14:paraId="1BC833C8" w14:textId="24B3E69A" w:rsidR="008660D9" w:rsidRPr="00D84768" w:rsidRDefault="008660D9" w:rsidP="000A7B31">
      <w:pPr>
        <w:spacing w:after="240" w:line="360" w:lineRule="auto"/>
        <w:jc w:val="both"/>
        <w:rPr>
          <w:rFonts w:ascii="Palatino Linotype" w:hAnsi="Palatino Linotype" w:cs="Arial"/>
        </w:rPr>
      </w:pPr>
      <w:r w:rsidRPr="00D84768">
        <w:rPr>
          <w:rFonts w:ascii="Palatino Linotype" w:hAnsi="Palatino Linotype" w:cs="Arial"/>
        </w:rPr>
        <w:t>-“RR 04574 INF DE JUSTIF ADMINISTRACIÓN.pdf”:</w:t>
      </w:r>
      <w:r w:rsidR="0021475A" w:rsidRPr="00D84768">
        <w:rPr>
          <w:rFonts w:ascii="Palatino Linotype" w:hAnsi="Palatino Linotype" w:cs="Arial"/>
        </w:rPr>
        <w:t xml:space="preserve"> Contiene el informe justificado del recurso de revisión, a través del cual el Sujeto Obligado </w:t>
      </w:r>
      <w:r w:rsidR="00DF5C69" w:rsidRPr="00D84768">
        <w:rPr>
          <w:rFonts w:ascii="Palatino Linotype" w:hAnsi="Palatino Linotype" w:cs="Arial"/>
        </w:rPr>
        <w:t>a través del cual ampl</w:t>
      </w:r>
      <w:r w:rsidR="004047B8" w:rsidRPr="00D84768">
        <w:rPr>
          <w:rFonts w:ascii="Palatino Linotype" w:hAnsi="Palatino Linotype" w:cs="Arial"/>
        </w:rPr>
        <w:t>ía su respuesta inicial y precisa algunos argumentos respecto de la misma, los cuales serán materia de análisis en la presente resolución.</w:t>
      </w:r>
    </w:p>
    <w:p w14:paraId="7FF425D7" w14:textId="0E7E3571" w:rsidR="00FB2094" w:rsidRPr="00D84768" w:rsidRDefault="00FB2094" w:rsidP="000A7B31">
      <w:pPr>
        <w:spacing w:after="240" w:line="360" w:lineRule="auto"/>
        <w:jc w:val="both"/>
        <w:rPr>
          <w:rFonts w:ascii="Palatino Linotype" w:hAnsi="Palatino Linotype" w:cs="Arial"/>
        </w:rPr>
      </w:pPr>
      <w:r w:rsidRPr="00D84768">
        <w:rPr>
          <w:rFonts w:ascii="Palatino Linotype" w:hAnsi="Palatino Linotype" w:cs="Arial"/>
        </w:rPr>
        <w:t>-“EscaneoRR 0457410001.pdf”:</w:t>
      </w:r>
      <w:r w:rsidR="006930A2" w:rsidRPr="00D84768">
        <w:rPr>
          <w:rFonts w:ascii="Palatino Linotype" w:hAnsi="Palatino Linotype" w:cs="Arial"/>
        </w:rPr>
        <w:t xml:space="preserve"> Oficio 202001000/3688/2018 de fecha siete de diciembre de dos mil dieciocho, a través del cual </w:t>
      </w:r>
      <w:r w:rsidR="0052329A" w:rsidRPr="00D84768">
        <w:rPr>
          <w:rFonts w:ascii="Palatino Linotype" w:hAnsi="Palatino Linotype" w:cs="Arial"/>
        </w:rPr>
        <w:t>se le informa al Director de Planeación que se ratifica la respuesta y anexa una guía para encontrar a información solicitada en el Ipomex.</w:t>
      </w:r>
    </w:p>
    <w:p w14:paraId="4342CADF" w14:textId="746DB708" w:rsidR="0044376D" w:rsidRPr="00D84768" w:rsidRDefault="00FB2094" w:rsidP="0044376D">
      <w:pPr>
        <w:spacing w:after="240" w:line="360" w:lineRule="auto"/>
        <w:jc w:val="both"/>
        <w:rPr>
          <w:rFonts w:ascii="Palatino Linotype" w:hAnsi="Palatino Linotype" w:cs="Arial"/>
        </w:rPr>
      </w:pPr>
      <w:r w:rsidRPr="00D84768">
        <w:rPr>
          <w:rFonts w:ascii="Palatino Linotype" w:hAnsi="Palatino Linotype" w:cs="Arial"/>
        </w:rPr>
        <w:t>-“ EscaneoRR 0457450001.pdf”:</w:t>
      </w:r>
      <w:r w:rsidR="0044376D" w:rsidRPr="00D84768">
        <w:rPr>
          <w:rFonts w:ascii="Palatino Linotype" w:hAnsi="Palatino Linotype" w:cs="Arial"/>
        </w:rPr>
        <w:t xml:space="preserve"> Contiene la parte posterior del oficio signado por el Director de Administración.</w:t>
      </w:r>
    </w:p>
    <w:p w14:paraId="1D4467DB" w14:textId="529F7B7D" w:rsidR="00FB2094" w:rsidRPr="00D84768" w:rsidRDefault="00FB2094" w:rsidP="000A7B31">
      <w:pPr>
        <w:spacing w:after="240" w:line="360" w:lineRule="auto"/>
        <w:jc w:val="both"/>
        <w:rPr>
          <w:rFonts w:ascii="Palatino Linotype" w:hAnsi="Palatino Linotype" w:cs="Arial"/>
        </w:rPr>
      </w:pPr>
      <w:r w:rsidRPr="00D84768">
        <w:rPr>
          <w:rFonts w:ascii="Palatino Linotype" w:hAnsi="Palatino Linotype" w:cs="Arial"/>
        </w:rPr>
        <w:t>-“ EscaneoRR 0457440001.pdf”:</w:t>
      </w:r>
      <w:r w:rsidR="00EE272C" w:rsidRPr="00D84768">
        <w:rPr>
          <w:rFonts w:ascii="Palatino Linotype" w:hAnsi="Palatino Linotype" w:cs="Arial"/>
        </w:rPr>
        <w:t xml:space="preserve"> Consta de una foja en la que se observa la relación de 18 unidades para su aseguramiento, la cual contiene los rubros de “No.P.” “económico”, “No. Factura”, “fecha” y “proveedor”.</w:t>
      </w:r>
    </w:p>
    <w:p w14:paraId="133155DE" w14:textId="495C5404" w:rsidR="00FB2094" w:rsidRPr="00D84768" w:rsidRDefault="00FB2094" w:rsidP="000A7B31">
      <w:pPr>
        <w:spacing w:after="240" w:line="360" w:lineRule="auto"/>
        <w:jc w:val="both"/>
        <w:rPr>
          <w:rFonts w:ascii="Palatino Linotype" w:hAnsi="Palatino Linotype" w:cs="Arial"/>
        </w:rPr>
      </w:pPr>
      <w:r w:rsidRPr="00D84768">
        <w:rPr>
          <w:rFonts w:ascii="Palatino Linotype" w:hAnsi="Palatino Linotype" w:cs="Arial"/>
        </w:rPr>
        <w:t>-“ EscaneoRR 0457430001.pdf”:</w:t>
      </w:r>
      <w:r w:rsidR="00D41E6B" w:rsidRPr="00D84768">
        <w:rPr>
          <w:rFonts w:ascii="Palatino Linotype" w:hAnsi="Palatino Linotype" w:cs="Arial"/>
        </w:rPr>
        <w:t xml:space="preserve"> Contiene dos fojas en las cuales se aprecia una guía para entras al sitio de información pública de oficio mexiquense (Ipomex).</w:t>
      </w:r>
    </w:p>
    <w:p w14:paraId="04C29401" w14:textId="133A501D" w:rsidR="008660D9" w:rsidRPr="00D84768" w:rsidRDefault="00461485" w:rsidP="000A7B31">
      <w:pPr>
        <w:spacing w:after="240" w:line="360" w:lineRule="auto"/>
        <w:jc w:val="both"/>
        <w:rPr>
          <w:rFonts w:ascii="Palatino Linotype" w:hAnsi="Palatino Linotype" w:cs="Arial"/>
        </w:rPr>
      </w:pPr>
      <w:r w:rsidRPr="00D84768">
        <w:rPr>
          <w:rFonts w:ascii="Palatino Linotype" w:hAnsi="Palatino Linotype" w:cs="Arial"/>
        </w:rPr>
        <w:t>La documentación remitida por el Sujeto Obligado fue puesta a disposición del recurrente en fecha catorce de enero de dos mil catorce, por considerar que aportaba nuevos elementos en términos del el artículo 185, fracción III de la Ley de Transparencia y Acceso a la Información Pública del Estado de México y Municipios.</w:t>
      </w:r>
    </w:p>
    <w:p w14:paraId="0534BF85" w14:textId="77777777" w:rsidR="000A7B31" w:rsidRPr="00D84768" w:rsidRDefault="000A7B31" w:rsidP="000A7B31">
      <w:pPr>
        <w:spacing w:after="240" w:line="360" w:lineRule="auto"/>
        <w:jc w:val="both"/>
        <w:rPr>
          <w:rFonts w:ascii="Palatino Linotype" w:hAnsi="Palatino Linotype" w:cs="Arial"/>
        </w:rPr>
      </w:pPr>
      <w:r w:rsidRPr="00D84768">
        <w:rPr>
          <w:rFonts w:ascii="Palatino Linotype" w:hAnsi="Palatino Linotype" w:cs="Arial"/>
        </w:rPr>
        <w:lastRenderedPageBreak/>
        <w:t>Por su parte el recurrente fue omiso en realizar manifestación alguna.</w:t>
      </w:r>
    </w:p>
    <w:p w14:paraId="4726ABC6" w14:textId="5C250B20" w:rsidR="00A93331" w:rsidRPr="00D84768" w:rsidRDefault="004D422B" w:rsidP="009A65F3">
      <w:pPr>
        <w:spacing w:before="240" w:after="240" w:line="360" w:lineRule="auto"/>
        <w:jc w:val="both"/>
        <w:rPr>
          <w:rFonts w:ascii="Palatino Linotype" w:hAnsi="Palatino Linotype"/>
        </w:rPr>
      </w:pPr>
      <w:r w:rsidRPr="00D84768">
        <w:rPr>
          <w:rFonts w:ascii="Palatino Linotype" w:hAnsi="Palatino Linotype"/>
          <w:b/>
        </w:rPr>
        <w:t>7</w:t>
      </w:r>
      <w:r w:rsidR="00A93331" w:rsidRPr="00D84768">
        <w:rPr>
          <w:rFonts w:ascii="Palatino Linotype" w:hAnsi="Palatino Linotype"/>
          <w:b/>
        </w:rPr>
        <w:t xml:space="preserve">. Cierre de instrucción. </w:t>
      </w:r>
      <w:r w:rsidR="005F1715" w:rsidRPr="00D84768">
        <w:rPr>
          <w:rFonts w:ascii="Palatino Linotype" w:hAnsi="Palatino Linotype"/>
        </w:rPr>
        <w:t xml:space="preserve">En fecha </w:t>
      </w:r>
      <w:r w:rsidR="00CB35B9">
        <w:rPr>
          <w:rFonts w:ascii="Palatino Linotype" w:hAnsi="Palatino Linotype"/>
        </w:rPr>
        <w:t>veintitrés</w:t>
      </w:r>
      <w:r w:rsidR="002035AE" w:rsidRPr="00D84768">
        <w:rPr>
          <w:rFonts w:ascii="Palatino Linotype" w:hAnsi="Palatino Linotype"/>
        </w:rPr>
        <w:t xml:space="preserve"> </w:t>
      </w:r>
      <w:r w:rsidR="009D2140" w:rsidRPr="00D84768">
        <w:rPr>
          <w:rFonts w:ascii="Palatino Linotype" w:hAnsi="Palatino Linotype"/>
        </w:rPr>
        <w:t>de</w:t>
      </w:r>
      <w:r w:rsidR="00A9137F" w:rsidRPr="00D84768">
        <w:rPr>
          <w:rFonts w:ascii="Palatino Linotype" w:hAnsi="Palatino Linotype"/>
        </w:rPr>
        <w:t xml:space="preserve"> </w:t>
      </w:r>
      <w:r w:rsidR="00CB35B9">
        <w:rPr>
          <w:rFonts w:ascii="Palatino Linotype" w:hAnsi="Palatino Linotype"/>
        </w:rPr>
        <w:t xml:space="preserve">enero </w:t>
      </w:r>
      <w:r w:rsidR="009A6C40" w:rsidRPr="00D84768">
        <w:rPr>
          <w:rFonts w:ascii="Palatino Linotype" w:hAnsi="Palatino Linotype"/>
        </w:rPr>
        <w:t>de dos mil dieci</w:t>
      </w:r>
      <w:r w:rsidR="00621A6C" w:rsidRPr="00D84768">
        <w:rPr>
          <w:rFonts w:ascii="Palatino Linotype" w:hAnsi="Palatino Linotype"/>
        </w:rPr>
        <w:t>nueve</w:t>
      </w:r>
      <w:r w:rsidR="00A93331" w:rsidRPr="00D84768">
        <w:rPr>
          <w:rFonts w:ascii="Palatino Linotype" w:hAnsi="Palatino Linotype"/>
        </w:rPr>
        <w:t xml:space="preserve"> el Comisionado ponente determinó el cierre de instrucción en términos de la fracción VI  del artículo 18</w:t>
      </w:r>
      <w:r w:rsidR="009A6C40" w:rsidRPr="00D84768">
        <w:rPr>
          <w:rFonts w:ascii="Palatino Linotype" w:hAnsi="Palatino Linotype"/>
        </w:rPr>
        <w:t>5 de la Ley de Transparencia y Acceso a la I</w:t>
      </w:r>
      <w:r w:rsidR="00A93331" w:rsidRPr="00D84768">
        <w:rPr>
          <w:rFonts w:ascii="Palatino Linotype" w:hAnsi="Palatino Linotype"/>
        </w:rPr>
        <w:t>nformación Pública del Estado de México y Municipios.</w:t>
      </w:r>
    </w:p>
    <w:p w14:paraId="4D65CB86" w14:textId="77777777" w:rsidR="009E5A7D" w:rsidRPr="00D84768"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D84768">
        <w:rPr>
          <w:rFonts w:ascii="Palatino Linotype" w:hAnsi="Palatino Linotype" w:cs="Arial"/>
          <w:b/>
        </w:rPr>
        <w:t>C O N S I D E R A N D O:</w:t>
      </w:r>
    </w:p>
    <w:p w14:paraId="28FC08F3" w14:textId="7780A7EC" w:rsidR="00A93331" w:rsidRPr="00D84768" w:rsidRDefault="00A93331" w:rsidP="009A65F3">
      <w:pPr>
        <w:spacing w:before="240" w:after="240" w:line="360" w:lineRule="auto"/>
        <w:jc w:val="both"/>
        <w:rPr>
          <w:rFonts w:ascii="Palatino Linotype" w:hAnsi="Palatino Linotype"/>
          <w:shd w:val="clear" w:color="auto" w:fill="FFFFFF"/>
        </w:rPr>
      </w:pPr>
      <w:r w:rsidRPr="00D84768">
        <w:rPr>
          <w:rFonts w:ascii="Palatino Linotype" w:hAnsi="Palatino Linotype" w:cs="Arial"/>
          <w:b/>
        </w:rPr>
        <w:t xml:space="preserve">Primero. Competencia. </w:t>
      </w:r>
      <w:r w:rsidRPr="00D8476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D84768">
        <w:rPr>
          <w:rFonts w:ascii="Palatino Linotype" w:hAnsi="Palatino Linotype"/>
          <w:shd w:val="clear" w:color="auto" w:fill="FFFFFF"/>
        </w:rPr>
        <w:t>vigésimo</w:t>
      </w:r>
      <w:r w:rsidRPr="00D84768">
        <w:rPr>
          <w:rFonts w:ascii="Palatino Linotype" w:hAnsi="Palatino Linotype"/>
          <w:shd w:val="clear" w:color="auto" w:fill="FFFFFF"/>
        </w:rPr>
        <w:t xml:space="preserve">, </w:t>
      </w:r>
      <w:r w:rsidR="006B0DBD" w:rsidRPr="00D84768">
        <w:rPr>
          <w:rFonts w:ascii="Palatino Linotype" w:hAnsi="Palatino Linotype"/>
          <w:shd w:val="clear" w:color="auto" w:fill="FFFFFF"/>
        </w:rPr>
        <w:t>vigésimo primero</w:t>
      </w:r>
      <w:r w:rsidRPr="00D84768">
        <w:rPr>
          <w:rFonts w:ascii="Palatino Linotype" w:hAnsi="Palatino Linotype"/>
          <w:shd w:val="clear" w:color="auto" w:fill="FFFFFF"/>
        </w:rPr>
        <w:t xml:space="preserve"> y </w:t>
      </w:r>
      <w:r w:rsidR="006B0DBD" w:rsidRPr="00D84768">
        <w:rPr>
          <w:rFonts w:ascii="Palatino Linotype" w:hAnsi="Palatino Linotype"/>
          <w:shd w:val="clear" w:color="auto" w:fill="FFFFFF"/>
        </w:rPr>
        <w:t>vigésimo segundo, fracciones</w:t>
      </w:r>
      <w:r w:rsidRPr="00D84768">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D84768">
        <w:rPr>
          <w:rStyle w:val="apple-converted-space"/>
          <w:rFonts w:ascii="Palatino Linotype" w:hAnsi="Palatino Linotype"/>
          <w:shd w:val="clear" w:color="auto" w:fill="FFFFFF"/>
        </w:rPr>
        <w:t> </w:t>
      </w:r>
      <w:r w:rsidR="009A6C40" w:rsidRPr="00D84768">
        <w:rPr>
          <w:rFonts w:ascii="Palatino Linotype" w:hAnsi="Palatino Linotype" w:cs="Arial"/>
        </w:rPr>
        <w:t xml:space="preserve">9, fracciones I y XXIV y 11 </w:t>
      </w:r>
      <w:r w:rsidRPr="00D8476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6847AC81" w:rsidR="00391A7B" w:rsidRPr="00D84768" w:rsidRDefault="00391A7B" w:rsidP="009A65F3">
      <w:pPr>
        <w:spacing w:before="240" w:after="240" w:line="360" w:lineRule="auto"/>
        <w:jc w:val="both"/>
        <w:rPr>
          <w:rFonts w:ascii="Palatino Linotype" w:hAnsi="Palatino Linotype" w:cs="Arial"/>
        </w:rPr>
      </w:pPr>
      <w:r w:rsidRPr="00D84768">
        <w:rPr>
          <w:rFonts w:ascii="Palatino Linotype" w:hAnsi="Palatino Linotype" w:cs="Arial"/>
          <w:b/>
        </w:rPr>
        <w:t>Segundo. Oportunidad y Procedibilidad del Recurso de Revisión</w:t>
      </w:r>
      <w:r w:rsidRPr="00D8476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D8476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w:t>
      </w:r>
      <w:r w:rsidRPr="00D84768">
        <w:rPr>
          <w:rFonts w:ascii="Palatino Linotype" w:hAnsi="Palatino Linotype" w:cs="Arial"/>
          <w:lang w:eastAsia="es-MX"/>
        </w:rPr>
        <w:lastRenderedPageBreak/>
        <w:t>dispositivos referidos, toda vez que el Sujeto Obligado emitió su respuesta respecto de la solicitud plante</w:t>
      </w:r>
      <w:r w:rsidR="002E5B52" w:rsidRPr="00D84768">
        <w:rPr>
          <w:rFonts w:ascii="Palatino Linotype" w:hAnsi="Palatino Linotype" w:cs="Arial"/>
          <w:lang w:eastAsia="es-MX"/>
        </w:rPr>
        <w:t xml:space="preserve">ada por la solicitante en fecha </w:t>
      </w:r>
      <w:r w:rsidR="00B85A01" w:rsidRPr="00D84768">
        <w:rPr>
          <w:rFonts w:ascii="Palatino Linotype" w:hAnsi="Palatino Linotype" w:cs="Arial"/>
          <w:lang w:eastAsia="es-MX"/>
        </w:rPr>
        <w:t xml:space="preserve">diecinueve </w:t>
      </w:r>
      <w:r w:rsidR="00A966CF" w:rsidRPr="00D84768">
        <w:rPr>
          <w:rFonts w:ascii="Palatino Linotype" w:hAnsi="Palatino Linotype" w:cs="Arial"/>
          <w:lang w:eastAsia="es-MX"/>
        </w:rPr>
        <w:t xml:space="preserve">de </w:t>
      </w:r>
      <w:r w:rsidR="00B85A01" w:rsidRPr="00D84768">
        <w:rPr>
          <w:rFonts w:ascii="Palatino Linotype" w:hAnsi="Palatino Linotype" w:cs="Arial"/>
          <w:lang w:eastAsia="es-MX"/>
        </w:rPr>
        <w:t xml:space="preserve">noviembre </w:t>
      </w:r>
      <w:r w:rsidRPr="00D84768">
        <w:rPr>
          <w:rFonts w:ascii="Palatino Linotype" w:hAnsi="Palatino Linotype" w:cs="Arial"/>
          <w:lang w:eastAsia="es-MX"/>
        </w:rPr>
        <w:t>de</w:t>
      </w:r>
      <w:r w:rsidR="007A4939" w:rsidRPr="00D84768">
        <w:rPr>
          <w:rFonts w:ascii="Palatino Linotype" w:hAnsi="Palatino Linotype" w:cs="Arial"/>
          <w:lang w:eastAsia="es-MX"/>
        </w:rPr>
        <w:t>l</w:t>
      </w:r>
      <w:r w:rsidRPr="00D84768">
        <w:rPr>
          <w:rFonts w:ascii="Palatino Linotype" w:hAnsi="Palatino Linotype" w:cs="Arial"/>
          <w:lang w:eastAsia="es-MX"/>
        </w:rPr>
        <w:t xml:space="preserve"> año dos mil dieci</w:t>
      </w:r>
      <w:r w:rsidR="0097098C" w:rsidRPr="00D84768">
        <w:rPr>
          <w:rFonts w:ascii="Palatino Linotype" w:hAnsi="Palatino Linotype" w:cs="Arial"/>
          <w:lang w:eastAsia="es-MX"/>
        </w:rPr>
        <w:t>ocho</w:t>
      </w:r>
      <w:r w:rsidRPr="00D84768">
        <w:rPr>
          <w:rFonts w:ascii="Palatino Linotype" w:hAnsi="Palatino Linotype" w:cs="Arial"/>
          <w:lang w:eastAsia="es-MX"/>
        </w:rPr>
        <w:t xml:space="preserve"> y la recurrente presentó recurso de revisión </w:t>
      </w:r>
      <w:r w:rsidR="002E5B52" w:rsidRPr="00D84768">
        <w:rPr>
          <w:rFonts w:ascii="Palatino Linotype" w:hAnsi="Palatino Linotype" w:cs="Arial"/>
          <w:lang w:eastAsia="es-MX"/>
        </w:rPr>
        <w:t xml:space="preserve">el </w:t>
      </w:r>
      <w:r w:rsidR="00B85A01" w:rsidRPr="00D84768">
        <w:rPr>
          <w:rFonts w:ascii="Palatino Linotype" w:hAnsi="Palatino Linotype" w:cs="Arial"/>
          <w:lang w:eastAsia="es-MX"/>
        </w:rPr>
        <w:t>treinta</w:t>
      </w:r>
      <w:r w:rsidR="007A4939" w:rsidRPr="00D84768">
        <w:rPr>
          <w:rFonts w:ascii="Palatino Linotype" w:hAnsi="Palatino Linotype" w:cs="Arial"/>
          <w:lang w:eastAsia="es-MX"/>
        </w:rPr>
        <w:t xml:space="preserve"> de</w:t>
      </w:r>
      <w:r w:rsidR="00A966CF" w:rsidRPr="00D84768">
        <w:rPr>
          <w:rFonts w:ascii="Palatino Linotype" w:hAnsi="Palatino Linotype" w:cs="Arial"/>
          <w:lang w:eastAsia="es-MX"/>
        </w:rPr>
        <w:t xml:space="preserve"> </w:t>
      </w:r>
      <w:r w:rsidR="00B85A01" w:rsidRPr="00D84768">
        <w:rPr>
          <w:rFonts w:ascii="Palatino Linotype" w:hAnsi="Palatino Linotype" w:cs="Arial"/>
          <w:lang w:eastAsia="es-MX"/>
        </w:rPr>
        <w:t>noviembr</w:t>
      </w:r>
      <w:r w:rsidR="00F72212" w:rsidRPr="00D84768">
        <w:rPr>
          <w:rFonts w:ascii="Palatino Linotype" w:hAnsi="Palatino Linotype" w:cs="Arial"/>
          <w:lang w:eastAsia="es-MX"/>
        </w:rPr>
        <w:t>e</w:t>
      </w:r>
      <w:r w:rsidR="00DF75A2" w:rsidRPr="00D84768">
        <w:rPr>
          <w:rFonts w:ascii="Palatino Linotype" w:hAnsi="Palatino Linotype" w:cs="Arial"/>
          <w:lang w:eastAsia="es-MX"/>
        </w:rPr>
        <w:t xml:space="preserve"> </w:t>
      </w:r>
      <w:r w:rsidR="002E5B52" w:rsidRPr="00D84768">
        <w:rPr>
          <w:rFonts w:ascii="Palatino Linotype" w:hAnsi="Palatino Linotype" w:cs="Arial"/>
          <w:lang w:eastAsia="es-MX"/>
        </w:rPr>
        <w:t>del</w:t>
      </w:r>
      <w:r w:rsidR="00F72212" w:rsidRPr="00D84768">
        <w:rPr>
          <w:rFonts w:ascii="Palatino Linotype" w:hAnsi="Palatino Linotype" w:cs="Arial"/>
          <w:lang w:eastAsia="es-MX"/>
        </w:rPr>
        <w:t xml:space="preserve"> mismo año</w:t>
      </w:r>
      <w:r w:rsidR="00230740" w:rsidRPr="00D84768">
        <w:rPr>
          <w:rFonts w:ascii="Palatino Linotype" w:hAnsi="Palatino Linotype" w:cs="Arial"/>
          <w:lang w:eastAsia="es-MX"/>
        </w:rPr>
        <w:t xml:space="preserve">, esto es </w:t>
      </w:r>
      <w:r w:rsidR="00DF75A2" w:rsidRPr="00D84768">
        <w:rPr>
          <w:rFonts w:ascii="Palatino Linotype" w:hAnsi="Palatino Linotype" w:cs="Arial"/>
          <w:lang w:eastAsia="es-MX"/>
        </w:rPr>
        <w:t xml:space="preserve">al </w:t>
      </w:r>
      <w:r w:rsidR="00CD06D6" w:rsidRPr="00D84768">
        <w:rPr>
          <w:rFonts w:ascii="Palatino Linotype" w:hAnsi="Palatino Linotype" w:cs="Arial"/>
          <w:lang w:eastAsia="es-MX"/>
        </w:rPr>
        <w:t xml:space="preserve">noveno </w:t>
      </w:r>
      <w:r w:rsidR="00A966CF" w:rsidRPr="00D84768">
        <w:rPr>
          <w:rFonts w:ascii="Palatino Linotype" w:hAnsi="Palatino Linotype" w:cs="Arial"/>
          <w:lang w:eastAsia="es-MX"/>
        </w:rPr>
        <w:t xml:space="preserve">día </w:t>
      </w:r>
      <w:r w:rsidRPr="00D84768">
        <w:rPr>
          <w:rFonts w:ascii="Palatino Linotype" w:hAnsi="Palatino Linotype" w:cs="Arial"/>
          <w:lang w:eastAsia="es-MX"/>
        </w:rPr>
        <w:t>hábil en que tuvo conocimiento del acto impugnado</w:t>
      </w:r>
      <w:r w:rsidRPr="00D84768">
        <w:rPr>
          <w:rFonts w:ascii="Palatino Linotype" w:hAnsi="Palatino Linotype" w:cs="Arial"/>
          <w:shd w:val="clear" w:color="auto" w:fill="FFFFFF"/>
        </w:rPr>
        <w:t>;</w:t>
      </w:r>
      <w:r w:rsidRPr="00D84768">
        <w:rPr>
          <w:rFonts w:ascii="Palatino Linotype" w:hAnsi="Palatino Linotype" w:cs="Arial"/>
          <w:lang w:eastAsia="es-MX"/>
        </w:rPr>
        <w:t xml:space="preserve"> evidenciándose que la interposición del recurso se</w:t>
      </w:r>
      <w:r w:rsidRPr="00D84768">
        <w:rPr>
          <w:rFonts w:ascii="Palatino Linotype" w:hAnsi="Palatino Linotype" w:cs="Arial"/>
        </w:rPr>
        <w:t xml:space="preserve"> encuentra dentro de los márgenes temporales previstos en el citado precepto legal.</w:t>
      </w:r>
    </w:p>
    <w:p w14:paraId="574A1503" w14:textId="77777777" w:rsidR="00D42894" w:rsidRPr="00D84768" w:rsidRDefault="00D42894" w:rsidP="00D42894">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D84768">
        <w:rPr>
          <w:rFonts w:ascii="Palatino Linotype" w:hAnsi="Palatino Linotype" w:cs="Arial"/>
        </w:rPr>
        <w:t>Así también por cuanto hace a la procedibilidad del recurso de revisión una vez realizado el análisis del formato de interposición</w:t>
      </w:r>
      <w:r w:rsidRPr="00D84768">
        <w:rPr>
          <w:rStyle w:val="normaltextrun"/>
          <w:rFonts w:ascii="Palatino Linotype" w:hAnsi="Palatino Linotype" w:cs="Segoe UI"/>
        </w:rPr>
        <w:t xml:space="preserve"> del recurso, se colige la acreditación plena de todos y cada uno de los elementos formales exigidos por el artículo 180 de la</w:t>
      </w:r>
      <w:r w:rsidRPr="00D84768">
        <w:rPr>
          <w:rStyle w:val="apple-converted-space"/>
          <w:rFonts w:ascii="Palatino Linotype" w:hAnsi="Palatino Linotype" w:cs="Segoe UI"/>
        </w:rPr>
        <w:t> </w:t>
      </w:r>
      <w:r w:rsidRPr="00D8476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D84768">
        <w:rPr>
          <w:rStyle w:val="apple-converted-space"/>
          <w:rFonts w:ascii="Palatino Linotype" w:hAnsi="Palatino Linotype" w:cs="Segoe UI"/>
        </w:rPr>
        <w:t> </w:t>
      </w:r>
      <w:r w:rsidRPr="00D84768">
        <w:rPr>
          <w:rStyle w:val="normaltextrun"/>
          <w:rFonts w:ascii="Palatino Linotype" w:hAnsi="Palatino Linotype" w:cs="Segoe UI"/>
          <w:b/>
          <w:bCs/>
        </w:rPr>
        <w:t>EL</w:t>
      </w:r>
      <w:r w:rsidRPr="00D84768">
        <w:rPr>
          <w:rStyle w:val="apple-converted-space"/>
          <w:rFonts w:ascii="Palatino Linotype" w:hAnsi="Palatino Linotype" w:cs="Segoe UI"/>
        </w:rPr>
        <w:t> </w:t>
      </w:r>
      <w:r w:rsidRPr="00D84768">
        <w:rPr>
          <w:rStyle w:val="normaltextrun"/>
          <w:rFonts w:ascii="Palatino Linotype" w:hAnsi="Palatino Linotype" w:cs="Segoe UI"/>
          <w:b/>
          <w:bCs/>
        </w:rPr>
        <w:t>SAIMEX</w:t>
      </w:r>
      <w:r w:rsidRPr="00D84768">
        <w:rPr>
          <w:rStyle w:val="normaltextrun"/>
          <w:rFonts w:ascii="Palatino Linotype" w:hAnsi="Palatino Linotype" w:cs="Segoe UI"/>
        </w:rPr>
        <w:t>.</w:t>
      </w:r>
    </w:p>
    <w:p w14:paraId="5014F5CC" w14:textId="77777777" w:rsidR="00D42894" w:rsidRPr="00D84768" w:rsidRDefault="00D42894" w:rsidP="00D42894">
      <w:pPr>
        <w:spacing w:before="240" w:after="240" w:line="360" w:lineRule="auto"/>
        <w:jc w:val="both"/>
        <w:rPr>
          <w:rFonts w:ascii="Palatino Linotype" w:hAnsi="Palatino Linotype"/>
          <w:color w:val="000000"/>
        </w:rPr>
      </w:pPr>
      <w:r w:rsidRPr="00D84768">
        <w:rPr>
          <w:rFonts w:ascii="Palatino Linotype" w:hAnsi="Palatino Linotype"/>
          <w:color w:val="000000"/>
        </w:rPr>
        <w:t>En consecuencia y después de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F26678E" w14:textId="6BAB52C7" w:rsidR="00D42894" w:rsidRPr="00D84768" w:rsidRDefault="00D42894" w:rsidP="00D42894">
      <w:pPr>
        <w:pStyle w:val="paragraph"/>
        <w:spacing w:before="0" w:beforeAutospacing="0" w:after="0" w:afterAutospacing="0" w:line="360" w:lineRule="auto"/>
        <w:ind w:right="-150"/>
        <w:jc w:val="both"/>
        <w:textAlignment w:val="baseline"/>
        <w:rPr>
          <w:rFonts w:ascii="Palatino Linotype" w:hAnsi="Palatino Linotype" w:cs="Segoe UI"/>
        </w:rPr>
      </w:pPr>
      <w:r w:rsidRPr="00D84768">
        <w:rPr>
          <w:rStyle w:val="normaltextrun"/>
          <w:rFonts w:ascii="Palatino Linotype" w:hAnsi="Palatino Linotype" w:cs="Segoe UI"/>
        </w:rPr>
        <w:t>Por otra parte, se advierte que resulta procedente la interposición del recurso, según lo aducido por la parte recurrente en sus motivos de inconformidad, de acuerdo al artículo</w:t>
      </w:r>
      <w:r w:rsidRPr="00D84768">
        <w:rPr>
          <w:rStyle w:val="apple-converted-space"/>
          <w:rFonts w:ascii="Palatino Linotype" w:hAnsi="Palatino Linotype" w:cs="Segoe UI"/>
        </w:rPr>
        <w:t> </w:t>
      </w:r>
      <w:r w:rsidRPr="00D84768">
        <w:rPr>
          <w:rStyle w:val="normaltextrun"/>
          <w:rFonts w:ascii="Palatino Linotype" w:hAnsi="Palatino Linotype" w:cs="Segoe UI"/>
        </w:rPr>
        <w:t>179, fraccion V del ordenamiento legal citado, que a la letra dice:</w:t>
      </w:r>
      <w:r w:rsidRPr="00D84768">
        <w:rPr>
          <w:rStyle w:val="eop"/>
          <w:rFonts w:ascii="Palatino Linotype" w:hAnsi="Palatino Linotype" w:cs="Segoe UI"/>
        </w:rPr>
        <w:t> </w:t>
      </w:r>
    </w:p>
    <w:p w14:paraId="0F5F8144" w14:textId="77777777" w:rsidR="00D42894" w:rsidRPr="00D84768" w:rsidRDefault="00D42894" w:rsidP="000719E0">
      <w:pPr>
        <w:pStyle w:val="paragraph"/>
        <w:spacing w:before="0" w:beforeAutospacing="0" w:after="0" w:afterAutospacing="0"/>
        <w:ind w:left="993" w:right="1041"/>
        <w:jc w:val="both"/>
        <w:textAlignment w:val="baseline"/>
        <w:rPr>
          <w:rFonts w:ascii="Palatino Linotype" w:hAnsi="Palatino Linotype"/>
          <w:i/>
          <w:sz w:val="22"/>
          <w:szCs w:val="22"/>
        </w:rPr>
      </w:pPr>
      <w:r w:rsidRPr="00D84768">
        <w:rPr>
          <w:rStyle w:val="normaltextrun"/>
          <w:rFonts w:ascii="Palatino Linotype" w:hAnsi="Palatino Linotype" w:cs="Segoe UI"/>
          <w:b/>
          <w:bCs/>
          <w:i/>
          <w:iCs/>
          <w:sz w:val="22"/>
          <w:szCs w:val="22"/>
        </w:rPr>
        <w:t>“</w:t>
      </w:r>
      <w:r w:rsidRPr="00D84768">
        <w:rPr>
          <w:rFonts w:ascii="Palatino Linotype" w:hAnsi="Palatino Linotype"/>
          <w:b/>
          <w:i/>
          <w:sz w:val="22"/>
          <w:szCs w:val="22"/>
        </w:rPr>
        <w:t>Artículo 179</w:t>
      </w:r>
      <w:r w:rsidRPr="00D84768">
        <w:rPr>
          <w:rFonts w:ascii="Palatino Linotype" w:hAnsi="Palatino Linotype"/>
          <w:i/>
          <w:sz w:val="22"/>
          <w:szCs w:val="22"/>
        </w:rPr>
        <w:t xml:space="preserve">. </w:t>
      </w:r>
      <w:r w:rsidRPr="00D84768">
        <w:rPr>
          <w:rFonts w:ascii="Palatino Linotype" w:hAnsi="Palatino Linotype"/>
          <w:b/>
          <w:i/>
          <w:sz w:val="22"/>
          <w:szCs w:val="22"/>
        </w:rPr>
        <w:t>El recurso de revisión</w:t>
      </w:r>
      <w:r w:rsidRPr="00D84768">
        <w:rPr>
          <w:rFonts w:ascii="Palatino Linotype" w:hAnsi="Palatino Linotype"/>
          <w:i/>
          <w:sz w:val="22"/>
          <w:szCs w:val="22"/>
        </w:rPr>
        <w:t xml:space="preserve"> es un medio de protección que la Ley otorga a los particulares, para hacer valer su derecho de acceso a la información pública</w:t>
      </w:r>
      <w:r w:rsidRPr="00D84768">
        <w:rPr>
          <w:rFonts w:ascii="Palatino Linotype" w:hAnsi="Palatino Linotype"/>
          <w:b/>
          <w:i/>
          <w:sz w:val="22"/>
          <w:szCs w:val="22"/>
        </w:rPr>
        <w:t>, y procederá en contra de las siguientes causas</w:t>
      </w:r>
      <w:r w:rsidRPr="00D84768">
        <w:rPr>
          <w:rFonts w:ascii="Palatino Linotype" w:hAnsi="Palatino Linotype"/>
          <w:i/>
          <w:sz w:val="22"/>
          <w:szCs w:val="22"/>
        </w:rPr>
        <w:t>:</w:t>
      </w:r>
    </w:p>
    <w:p w14:paraId="3F0E06C9" w14:textId="37DD7A7E" w:rsidR="000719E0" w:rsidRPr="00D84768" w:rsidRDefault="000719E0"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D84768">
        <w:rPr>
          <w:rFonts w:ascii="Palatino Linotype" w:hAnsi="Palatino Linotype"/>
          <w:i/>
          <w:sz w:val="22"/>
          <w:szCs w:val="22"/>
        </w:rPr>
        <w:t>…</w:t>
      </w:r>
    </w:p>
    <w:p w14:paraId="106CDCD5" w14:textId="77777777" w:rsidR="000719E0" w:rsidRPr="00D84768"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D84768">
        <w:rPr>
          <w:rFonts w:ascii="Palatino Linotype" w:hAnsi="Palatino Linotype"/>
          <w:i/>
          <w:sz w:val="22"/>
          <w:szCs w:val="22"/>
        </w:rPr>
        <w:t>VI. La entrega de información que no corresponda con lo solicitado;</w:t>
      </w:r>
    </w:p>
    <w:p w14:paraId="372C7385" w14:textId="3B60938C" w:rsidR="00D42894" w:rsidRPr="00D84768" w:rsidRDefault="00D42894" w:rsidP="000719E0">
      <w:pPr>
        <w:pStyle w:val="paragraph"/>
        <w:spacing w:before="0" w:beforeAutospacing="0" w:after="0" w:afterAutospacing="0"/>
        <w:ind w:left="1713" w:right="1041"/>
        <w:jc w:val="both"/>
        <w:textAlignment w:val="baseline"/>
        <w:rPr>
          <w:rFonts w:ascii="Palatino Linotype" w:hAnsi="Palatino Linotype"/>
          <w:i/>
          <w:sz w:val="22"/>
          <w:szCs w:val="22"/>
        </w:rPr>
      </w:pPr>
      <w:r w:rsidRPr="00D84768">
        <w:rPr>
          <w:rFonts w:ascii="Palatino Linotype" w:hAnsi="Palatino Linotype"/>
          <w:i/>
          <w:sz w:val="22"/>
          <w:szCs w:val="22"/>
        </w:rPr>
        <w:lastRenderedPageBreak/>
        <w:t>(…)</w:t>
      </w:r>
      <w:r w:rsidRPr="00D84768">
        <w:rPr>
          <w:rStyle w:val="normaltextrun"/>
          <w:rFonts w:ascii="Palatino Linotype" w:hAnsi="Palatino Linotype" w:cs="Segoe UI"/>
          <w:b/>
          <w:bCs/>
          <w:i/>
          <w:iCs/>
          <w:sz w:val="22"/>
          <w:szCs w:val="22"/>
        </w:rPr>
        <w:t>”</w:t>
      </w:r>
      <w:r w:rsidRPr="00D84768">
        <w:rPr>
          <w:rStyle w:val="eop"/>
          <w:rFonts w:ascii="Palatino Linotype" w:hAnsi="Palatino Linotype" w:cs="Segoe UI"/>
          <w:i/>
          <w:sz w:val="22"/>
          <w:szCs w:val="22"/>
        </w:rPr>
        <w:t> </w:t>
      </w:r>
    </w:p>
    <w:p w14:paraId="3F5874B5" w14:textId="12B39D37" w:rsidR="00D42894" w:rsidRPr="00D84768" w:rsidRDefault="00D42894" w:rsidP="00D42894">
      <w:pPr>
        <w:spacing w:before="240" w:after="240" w:line="360" w:lineRule="auto"/>
        <w:jc w:val="both"/>
        <w:rPr>
          <w:rStyle w:val="normaltextrun"/>
          <w:rFonts w:ascii="Palatino Linotype" w:hAnsi="Palatino Linotype" w:cs="Segoe UI"/>
        </w:rPr>
      </w:pPr>
      <w:r w:rsidRPr="00D84768">
        <w:rPr>
          <w:rStyle w:val="normaltextrun"/>
          <w:rFonts w:ascii="Palatino Linotype" w:hAnsi="Palatino Linotype" w:cs="Segoe UI"/>
        </w:rPr>
        <w:t xml:space="preserve">Lo anterior es así, ya que apunta la parte recurrente </w:t>
      </w:r>
      <w:r w:rsidR="00CC7262" w:rsidRPr="00D84768">
        <w:rPr>
          <w:rStyle w:val="normaltextrun"/>
          <w:rFonts w:ascii="Palatino Linotype" w:hAnsi="Palatino Linotype" w:cs="Segoe UI"/>
        </w:rPr>
        <w:t xml:space="preserve">que la respuesta </w:t>
      </w:r>
      <w:r w:rsidR="00DD535A" w:rsidRPr="00D84768">
        <w:rPr>
          <w:rStyle w:val="normaltextrun"/>
          <w:rFonts w:ascii="Palatino Linotype" w:hAnsi="Palatino Linotype" w:cs="Segoe UI"/>
        </w:rPr>
        <w:t>del Sujeto Obligado</w:t>
      </w:r>
      <w:r w:rsidR="00C06BC9" w:rsidRPr="00D84768">
        <w:rPr>
          <w:rStyle w:val="normaltextrun"/>
          <w:rFonts w:ascii="Palatino Linotype" w:hAnsi="Palatino Linotype" w:cs="Segoe UI"/>
        </w:rPr>
        <w:t xml:space="preserve"> es incompleta porque no se adjuntaron las pólizas de segur</w:t>
      </w:r>
      <w:r w:rsidR="00900820" w:rsidRPr="00D84768">
        <w:rPr>
          <w:rStyle w:val="normaltextrun"/>
          <w:rFonts w:ascii="Palatino Linotype" w:hAnsi="Palatino Linotype" w:cs="Segoe UI"/>
        </w:rPr>
        <w:t>o de las patrullas adquiridas, de la misma manera se inconforma debido a que las facturas de anexaron en versión pública sin adjuntar el Acuerdo de Clasificación correspondiente</w:t>
      </w:r>
      <w:r w:rsidRPr="00D84768">
        <w:rPr>
          <w:rStyle w:val="normaltextrun"/>
          <w:rFonts w:ascii="Palatino Linotype" w:hAnsi="Palatino Linotype" w:cs="Segoe UI"/>
        </w:rPr>
        <w:t>.</w:t>
      </w:r>
    </w:p>
    <w:p w14:paraId="3A7A1C50" w14:textId="07A264EC" w:rsidR="00971D31" w:rsidRPr="00D84768" w:rsidRDefault="00971D31" w:rsidP="009A65F3">
      <w:pPr>
        <w:spacing w:before="240" w:after="240" w:line="360" w:lineRule="auto"/>
        <w:jc w:val="both"/>
        <w:rPr>
          <w:rFonts w:ascii="Palatino Linotype" w:hAnsi="Palatino Linotype" w:cs="Arial"/>
          <w:b/>
        </w:rPr>
      </w:pPr>
      <w:r w:rsidRPr="00D84768">
        <w:rPr>
          <w:rFonts w:ascii="Palatino Linotype" w:hAnsi="Palatino Linotype" w:cs="Arial"/>
          <w:b/>
        </w:rPr>
        <w:t xml:space="preserve">Tercero. Materia de la revisión. </w:t>
      </w:r>
      <w:r w:rsidRPr="00D84768">
        <w:rPr>
          <w:rFonts w:ascii="Palatino Linotype" w:hAnsi="Palatino Linotype" w:cs="Arial"/>
        </w:rPr>
        <w:t xml:space="preserve">De la revisión a las constancias que obran en el expediente electrónico se advierte que el tema sobre el que este Instituto se pronunciará será: </w:t>
      </w:r>
      <w:r w:rsidR="00573C2A" w:rsidRPr="00D84768">
        <w:rPr>
          <w:rFonts w:ascii="Palatino Linotype" w:hAnsi="Palatino Linotype" w:cs="Arial"/>
          <w:b/>
        </w:rPr>
        <w:t xml:space="preserve">verificar si </w:t>
      </w:r>
      <w:r w:rsidR="0093333E" w:rsidRPr="00D84768">
        <w:rPr>
          <w:rFonts w:ascii="Palatino Linotype" w:hAnsi="Palatino Linotype" w:cs="Arial"/>
          <w:b/>
        </w:rPr>
        <w:t xml:space="preserve">la información entregada por </w:t>
      </w:r>
      <w:r w:rsidR="00573C2A" w:rsidRPr="00D84768">
        <w:rPr>
          <w:rFonts w:ascii="Palatino Linotype" w:hAnsi="Palatino Linotype" w:cs="Arial"/>
          <w:b/>
        </w:rPr>
        <w:t>el Sujeto O</w:t>
      </w:r>
      <w:r w:rsidRPr="00D84768">
        <w:rPr>
          <w:rFonts w:ascii="Palatino Linotype" w:hAnsi="Palatino Linotype" w:cs="Arial"/>
          <w:b/>
        </w:rPr>
        <w:t>bligado</w:t>
      </w:r>
      <w:r w:rsidR="0093333E" w:rsidRPr="00D84768">
        <w:rPr>
          <w:rFonts w:ascii="Palatino Linotype" w:hAnsi="Palatino Linotype" w:cs="Arial"/>
          <w:b/>
        </w:rPr>
        <w:t xml:space="preserve"> colma la solicitud de acceso a la información pública</w:t>
      </w:r>
      <w:r w:rsidR="006B0DBD" w:rsidRPr="00D84768">
        <w:rPr>
          <w:rFonts w:ascii="Palatino Linotype" w:hAnsi="Palatino Linotype" w:cs="Arial"/>
          <w:b/>
        </w:rPr>
        <w:t>.</w:t>
      </w:r>
    </w:p>
    <w:p w14:paraId="627F1933" w14:textId="3C0CD96F" w:rsidR="006B0DBD" w:rsidRPr="00D84768" w:rsidRDefault="00971D31" w:rsidP="009A65F3">
      <w:pPr>
        <w:spacing w:before="240" w:after="240" w:line="360" w:lineRule="auto"/>
        <w:jc w:val="both"/>
        <w:rPr>
          <w:rFonts w:ascii="Palatino Linotype" w:hAnsi="Palatino Linotype" w:cs="Arial"/>
        </w:rPr>
      </w:pPr>
      <w:r w:rsidRPr="00D84768">
        <w:rPr>
          <w:rFonts w:ascii="Palatino Linotype" w:hAnsi="Palatino Linotype" w:cs="Arial"/>
          <w:b/>
        </w:rPr>
        <w:t xml:space="preserve">Cuarto. Estudio del asunto. </w:t>
      </w:r>
      <w:r w:rsidRPr="00D84768">
        <w:rPr>
          <w:rFonts w:ascii="Palatino Linotype" w:hAnsi="Palatino Linotype" w:cs="Arial"/>
        </w:rPr>
        <w:t>Como fue referido en los antecedent</w:t>
      </w:r>
      <w:r w:rsidR="00D538F8" w:rsidRPr="00D84768">
        <w:rPr>
          <w:rFonts w:ascii="Palatino Linotype" w:hAnsi="Palatino Linotype" w:cs="Arial"/>
        </w:rPr>
        <w:t>es de la presente resolución, l</w:t>
      </w:r>
      <w:r w:rsidR="00E60927" w:rsidRPr="00D84768">
        <w:rPr>
          <w:rFonts w:ascii="Palatino Linotype" w:hAnsi="Palatino Linotype" w:cs="Arial"/>
        </w:rPr>
        <w:t>a</w:t>
      </w:r>
      <w:r w:rsidRPr="00D84768">
        <w:rPr>
          <w:rFonts w:ascii="Palatino Linotype" w:hAnsi="Palatino Linotype" w:cs="Arial"/>
        </w:rPr>
        <w:t xml:space="preserve"> solicitante le requirió al </w:t>
      </w:r>
      <w:r w:rsidR="004B246C" w:rsidRPr="00D84768">
        <w:rPr>
          <w:rFonts w:ascii="Palatino Linotype" w:hAnsi="Palatino Linotype" w:cs="Arial"/>
        </w:rPr>
        <w:t xml:space="preserve">Ayuntamiento de </w:t>
      </w:r>
      <w:r w:rsidR="00900820" w:rsidRPr="00D84768">
        <w:rPr>
          <w:rFonts w:ascii="Palatino Linotype" w:hAnsi="Palatino Linotype" w:cs="Arial"/>
        </w:rPr>
        <w:t>Toluca</w:t>
      </w:r>
      <w:r w:rsidR="005130E0" w:rsidRPr="00D84768">
        <w:rPr>
          <w:rFonts w:ascii="Palatino Linotype" w:hAnsi="Palatino Linotype" w:cs="Arial"/>
        </w:rPr>
        <w:t>,</w:t>
      </w:r>
      <w:r w:rsidR="0035321B" w:rsidRPr="00D84768">
        <w:rPr>
          <w:rFonts w:ascii="Palatino Linotype" w:hAnsi="Palatino Linotype" w:cs="Arial"/>
        </w:rPr>
        <w:t xml:space="preserve"> </w:t>
      </w:r>
      <w:r w:rsidR="006B0DBD" w:rsidRPr="00D84768">
        <w:rPr>
          <w:rFonts w:ascii="Palatino Linotype" w:hAnsi="Palatino Linotype" w:cs="Arial"/>
        </w:rPr>
        <w:t>lo siguiente:</w:t>
      </w:r>
    </w:p>
    <w:p w14:paraId="510B8134" w14:textId="2095F49D" w:rsidR="004B246C" w:rsidRPr="00D84768" w:rsidRDefault="004B246C" w:rsidP="009A65F3">
      <w:pPr>
        <w:spacing w:before="240" w:after="240" w:line="360" w:lineRule="auto"/>
        <w:jc w:val="both"/>
        <w:rPr>
          <w:rFonts w:ascii="Palatino Linotype" w:hAnsi="Palatino Linotype" w:cs="Arial"/>
        </w:rPr>
      </w:pPr>
      <w:r w:rsidRPr="00D84768">
        <w:rPr>
          <w:rFonts w:ascii="Palatino Linotype" w:hAnsi="Palatino Linotype" w:cs="Arial"/>
        </w:rPr>
        <w:t>Respecto del</w:t>
      </w:r>
      <w:r w:rsidR="00F8781E" w:rsidRPr="00D84768">
        <w:rPr>
          <w:rFonts w:ascii="Palatino Linotype" w:hAnsi="Palatino Linotype" w:cs="Arial"/>
        </w:rPr>
        <w:t xml:space="preserve"> procedimiento de adquisición de treinta y ocho patrullas</w:t>
      </w:r>
      <w:r w:rsidRPr="00D84768">
        <w:rPr>
          <w:rFonts w:ascii="Palatino Linotype" w:hAnsi="Palatino Linotype" w:cs="Arial"/>
        </w:rPr>
        <w:t>:</w:t>
      </w:r>
    </w:p>
    <w:p w14:paraId="756A0B5A" w14:textId="28C15BE1" w:rsidR="00644755" w:rsidRPr="00D84768" w:rsidRDefault="00F8781E" w:rsidP="00644755">
      <w:pPr>
        <w:pStyle w:val="Prrafodelista"/>
        <w:numPr>
          <w:ilvl w:val="0"/>
          <w:numId w:val="17"/>
        </w:numPr>
        <w:spacing w:before="240" w:after="240" w:line="360" w:lineRule="auto"/>
        <w:jc w:val="both"/>
        <w:rPr>
          <w:rFonts w:ascii="Palatino Linotype" w:hAnsi="Palatino Linotype" w:cs="Arial"/>
        </w:rPr>
      </w:pPr>
      <w:r w:rsidRPr="00D84768">
        <w:rPr>
          <w:rFonts w:ascii="Palatino Linotype" w:hAnsi="Palatino Linotype" w:cs="Arial"/>
        </w:rPr>
        <w:t>Expediente conformado con motivo del procedimiento de adquisición</w:t>
      </w:r>
      <w:r w:rsidR="00644755" w:rsidRPr="00D84768">
        <w:rPr>
          <w:rFonts w:ascii="Palatino Linotype" w:hAnsi="Palatino Linotype" w:cs="Arial"/>
        </w:rPr>
        <w:t>.</w:t>
      </w:r>
    </w:p>
    <w:p w14:paraId="1CEE9C4F" w14:textId="5E7C514F" w:rsidR="00F8781E" w:rsidRPr="00D84768" w:rsidRDefault="00F8781E" w:rsidP="00644755">
      <w:pPr>
        <w:pStyle w:val="Prrafodelista"/>
        <w:numPr>
          <w:ilvl w:val="0"/>
          <w:numId w:val="17"/>
        </w:numPr>
        <w:spacing w:before="240" w:after="240" w:line="360" w:lineRule="auto"/>
        <w:jc w:val="both"/>
        <w:rPr>
          <w:rFonts w:ascii="Palatino Linotype" w:hAnsi="Palatino Linotype" w:cs="Arial"/>
        </w:rPr>
      </w:pPr>
      <w:r w:rsidRPr="00D84768">
        <w:rPr>
          <w:rFonts w:ascii="Palatino Linotype" w:hAnsi="Palatino Linotype" w:cs="Arial"/>
        </w:rPr>
        <w:t>Copia de las facturas de cada patrulla.</w:t>
      </w:r>
    </w:p>
    <w:p w14:paraId="08EF46D0" w14:textId="0470FF7F" w:rsidR="00F8781E" w:rsidRPr="00D84768" w:rsidRDefault="00F8781E" w:rsidP="00644755">
      <w:pPr>
        <w:pStyle w:val="Prrafodelista"/>
        <w:numPr>
          <w:ilvl w:val="0"/>
          <w:numId w:val="17"/>
        </w:numPr>
        <w:spacing w:before="240" w:after="240" w:line="360" w:lineRule="auto"/>
        <w:jc w:val="both"/>
        <w:rPr>
          <w:rFonts w:ascii="Palatino Linotype" w:hAnsi="Palatino Linotype" w:cs="Arial"/>
        </w:rPr>
      </w:pPr>
      <w:r w:rsidRPr="00D84768">
        <w:rPr>
          <w:rFonts w:ascii="Palatino Linotype" w:hAnsi="Palatino Linotype" w:cs="Arial"/>
        </w:rPr>
        <w:t>Nombre del proveedor.</w:t>
      </w:r>
    </w:p>
    <w:p w14:paraId="624822EE" w14:textId="56DE2DE5" w:rsidR="00F8781E" w:rsidRPr="00D84768" w:rsidRDefault="00F8781E" w:rsidP="00644755">
      <w:pPr>
        <w:pStyle w:val="Prrafodelista"/>
        <w:numPr>
          <w:ilvl w:val="0"/>
          <w:numId w:val="17"/>
        </w:numPr>
        <w:spacing w:before="240" w:after="240" w:line="360" w:lineRule="auto"/>
        <w:jc w:val="both"/>
        <w:rPr>
          <w:rFonts w:ascii="Palatino Linotype" w:hAnsi="Palatino Linotype" w:cs="Arial"/>
        </w:rPr>
      </w:pPr>
      <w:r w:rsidRPr="00D84768">
        <w:rPr>
          <w:rFonts w:ascii="Palatino Linotype" w:hAnsi="Palatino Linotype" w:cs="Arial"/>
        </w:rPr>
        <w:t>Póliza de seguro de cada una de las patrullas.</w:t>
      </w:r>
    </w:p>
    <w:p w14:paraId="33450298" w14:textId="6CFDF4C6" w:rsidR="004F3259" w:rsidRPr="00D84768" w:rsidRDefault="001E2B3B" w:rsidP="00A2016B">
      <w:pPr>
        <w:spacing w:before="240" w:after="240" w:line="360" w:lineRule="auto"/>
        <w:jc w:val="both"/>
        <w:rPr>
          <w:rFonts w:ascii="Palatino Linotype" w:hAnsi="Palatino Linotype" w:cs="Arial"/>
        </w:rPr>
      </w:pPr>
      <w:r w:rsidRPr="00D84768">
        <w:rPr>
          <w:rFonts w:ascii="Palatino Linotype" w:hAnsi="Palatino Linotype" w:cs="Arial"/>
        </w:rPr>
        <w:t xml:space="preserve">En respuesta a la solicitud de información el Sujeto Obligado </w:t>
      </w:r>
      <w:r w:rsidR="0012117E" w:rsidRPr="00D84768">
        <w:rPr>
          <w:rFonts w:ascii="Palatino Linotype" w:hAnsi="Palatino Linotype" w:cs="Arial"/>
        </w:rPr>
        <w:t>remitió</w:t>
      </w:r>
      <w:r w:rsidR="00EB2011" w:rsidRPr="00D84768">
        <w:rPr>
          <w:rFonts w:ascii="Palatino Linotype" w:hAnsi="Palatino Linotype" w:cs="Arial"/>
        </w:rPr>
        <w:t xml:space="preserve"> el archivo denominado “38 FACTURAS DE PATRULLAS.pdf” a través del cual </w:t>
      </w:r>
      <w:r w:rsidR="000B59ED" w:rsidRPr="00D84768">
        <w:rPr>
          <w:rFonts w:ascii="Palatino Linotype" w:hAnsi="Palatino Linotype" w:cs="Arial"/>
        </w:rPr>
        <w:t>s</w:t>
      </w:r>
      <w:r w:rsidR="00EB2011" w:rsidRPr="00D84768">
        <w:rPr>
          <w:rFonts w:ascii="Palatino Linotype" w:hAnsi="Palatino Linotype" w:cs="Arial"/>
        </w:rPr>
        <w:t>e remitieron treinta y ocho facturas en versión pública, a través de los cuales se aprecian el nombre del emisor</w:t>
      </w:r>
      <w:r w:rsidR="006C7576" w:rsidRPr="00D84768">
        <w:rPr>
          <w:rFonts w:ascii="Palatino Linotype" w:hAnsi="Palatino Linotype" w:cs="Arial"/>
        </w:rPr>
        <w:t xml:space="preserve">, de la misma manera se la informa al particular que el </w:t>
      </w:r>
      <w:r w:rsidR="006C7576" w:rsidRPr="00D84768">
        <w:rPr>
          <w:rFonts w:ascii="Palatino Linotype" w:hAnsi="Palatino Linotype" w:cs="Arial"/>
        </w:rPr>
        <w:lastRenderedPageBreak/>
        <w:t xml:space="preserve">procedimiento de licitación se encuentra en la fracción XXIX A del artículo 92 de la Ley de Transparencia y Acceso a la Información Pública del Estado de México y Municipios, específicamente en el apartado “Resultados de Procedimientos de Lactación e invitación a cuando menos tres personas” expedientes LPN-HART-RP-13-2018 y LPN-HAT-RP-15-2018; </w:t>
      </w:r>
      <w:r w:rsidR="00BB4B54" w:rsidRPr="00D84768">
        <w:rPr>
          <w:rFonts w:ascii="Palatino Linotype" w:hAnsi="Palatino Linotype" w:cs="Arial"/>
        </w:rPr>
        <w:t>además se indica anexa las pólizas y facturas solicitadas.</w:t>
      </w:r>
    </w:p>
    <w:p w14:paraId="272D3C2D" w14:textId="6233302C" w:rsidR="002B7CA4" w:rsidRPr="00D84768" w:rsidRDefault="001E2B3B" w:rsidP="00A2016B">
      <w:pPr>
        <w:pStyle w:val="NormalWeb"/>
        <w:spacing w:line="360" w:lineRule="auto"/>
        <w:jc w:val="both"/>
        <w:rPr>
          <w:rFonts w:ascii="Palatino Linotype" w:hAnsi="Palatino Linotype" w:cs="Arial"/>
        </w:rPr>
      </w:pPr>
      <w:r w:rsidRPr="00D84768">
        <w:rPr>
          <w:rFonts w:ascii="Palatino Linotype" w:hAnsi="Palatino Linotype" w:cs="Arial"/>
        </w:rPr>
        <w:t>Inconforme con la respuesta</w:t>
      </w:r>
      <w:r w:rsidR="00B44700" w:rsidRPr="00D84768">
        <w:rPr>
          <w:rFonts w:ascii="Palatino Linotype" w:hAnsi="Palatino Linotype" w:cs="Arial"/>
        </w:rPr>
        <w:t xml:space="preserve">, </w:t>
      </w:r>
      <w:r w:rsidR="000E0261" w:rsidRPr="00D84768">
        <w:rPr>
          <w:rFonts w:ascii="Palatino Linotype" w:hAnsi="Palatino Linotype" w:cs="Arial"/>
        </w:rPr>
        <w:t>el</w:t>
      </w:r>
      <w:r w:rsidRPr="00D84768">
        <w:rPr>
          <w:rFonts w:ascii="Palatino Linotype" w:hAnsi="Palatino Linotype" w:cs="Arial"/>
        </w:rPr>
        <w:t xml:space="preserve"> particular interpuso el presente medio d</w:t>
      </w:r>
      <w:r w:rsidR="004D5F53" w:rsidRPr="00D84768">
        <w:rPr>
          <w:rFonts w:ascii="Palatino Linotype" w:hAnsi="Palatino Linotype" w:cs="Arial"/>
        </w:rPr>
        <w:t>e impugnac</w:t>
      </w:r>
      <w:r w:rsidR="006208DE" w:rsidRPr="00D84768">
        <w:rPr>
          <w:rFonts w:ascii="Palatino Linotype" w:hAnsi="Palatino Linotype" w:cs="Arial"/>
        </w:rPr>
        <w:t>ión, argumentando principalmente el haber recibido una respuesta incompleta, por tres aspectos, el primero de ellos en relación con la entrega del expediente del procedimiento de licitación solicitado, ya que únicamente se indicó la fracción en la que podría hallar la información sin haber recibido un enlace electrónico y a</w:t>
      </w:r>
      <w:r w:rsidR="00A37494" w:rsidRPr="00D84768">
        <w:rPr>
          <w:rFonts w:ascii="Palatino Linotype" w:hAnsi="Palatino Linotype" w:cs="Arial"/>
        </w:rPr>
        <w:t xml:space="preserve"> pesar</w:t>
      </w:r>
      <w:r w:rsidR="006208DE" w:rsidRPr="00D84768">
        <w:rPr>
          <w:rFonts w:ascii="Palatino Linotype" w:hAnsi="Palatino Linotype" w:cs="Arial"/>
        </w:rPr>
        <w:t xml:space="preserve"> de </w:t>
      </w:r>
      <w:r w:rsidR="0003249D" w:rsidRPr="00D84768">
        <w:rPr>
          <w:rFonts w:ascii="Palatino Linotype" w:hAnsi="Palatino Linotype" w:cs="Arial"/>
        </w:rPr>
        <w:t>el</w:t>
      </w:r>
      <w:r w:rsidR="006208DE" w:rsidRPr="00D84768">
        <w:rPr>
          <w:rFonts w:ascii="Palatino Linotype" w:hAnsi="Palatino Linotype" w:cs="Arial"/>
        </w:rPr>
        <w:t xml:space="preserve">lo no se localizó la información </w:t>
      </w:r>
      <w:r w:rsidR="00A37494" w:rsidRPr="00D84768">
        <w:rPr>
          <w:rFonts w:ascii="Palatino Linotype" w:hAnsi="Palatino Linotype" w:cs="Arial"/>
        </w:rPr>
        <w:t>con las instrucciones señaladas; en segundo lugar se inconforma de que la información relativa a las facturas y nombre de proveedor fueron remitidas en versión pública sin contar con el Acuerdo d</w:t>
      </w:r>
      <w:r w:rsidR="002F26A0" w:rsidRPr="00D84768">
        <w:rPr>
          <w:rFonts w:ascii="Palatino Linotype" w:hAnsi="Palatino Linotype" w:cs="Arial"/>
        </w:rPr>
        <w:t>e Clasificación que la</w:t>
      </w:r>
      <w:r w:rsidR="00213BC3" w:rsidRPr="00D84768">
        <w:rPr>
          <w:rFonts w:ascii="Palatino Linotype" w:hAnsi="Palatino Linotype" w:cs="Arial"/>
        </w:rPr>
        <w:t>s</w:t>
      </w:r>
      <w:r w:rsidR="002F26A0" w:rsidRPr="00D84768">
        <w:rPr>
          <w:rFonts w:ascii="Palatino Linotype" w:hAnsi="Palatino Linotype" w:cs="Arial"/>
        </w:rPr>
        <w:t xml:space="preserve"> sustente</w:t>
      </w:r>
      <w:r w:rsidR="00A37494" w:rsidRPr="00D84768">
        <w:rPr>
          <w:rFonts w:ascii="Palatino Linotype" w:hAnsi="Palatino Linotype" w:cs="Arial"/>
        </w:rPr>
        <w:t xml:space="preserve">; por último </w:t>
      </w:r>
      <w:r w:rsidR="00CD352F" w:rsidRPr="00D84768">
        <w:rPr>
          <w:rFonts w:ascii="Palatino Linotype" w:hAnsi="Palatino Linotype" w:cs="Arial"/>
        </w:rPr>
        <w:t>el particular se inconforma de no haber recibido las pólizas de seguro de las patrullas, ya que el Sujeto Obligado lo indica en su respuesta sin anexar la documentación.</w:t>
      </w:r>
    </w:p>
    <w:p w14:paraId="740C2C49" w14:textId="64C30468" w:rsidR="00492527" w:rsidRPr="00D84768" w:rsidRDefault="00492527" w:rsidP="00A2016B">
      <w:pPr>
        <w:pStyle w:val="NormalWeb"/>
        <w:spacing w:line="360" w:lineRule="auto"/>
        <w:jc w:val="both"/>
        <w:rPr>
          <w:rFonts w:ascii="Palatino Linotype" w:hAnsi="Palatino Linotype" w:cs="Arial"/>
        </w:rPr>
      </w:pPr>
      <w:r w:rsidRPr="00D84768">
        <w:rPr>
          <w:rFonts w:ascii="Palatino Linotype" w:hAnsi="Palatino Linotype" w:cs="Arial"/>
        </w:rPr>
        <w:t>Ante tales argumentos</w:t>
      </w:r>
      <w:r w:rsidR="000076ED" w:rsidRPr="00D84768">
        <w:rPr>
          <w:rFonts w:ascii="Palatino Linotype" w:hAnsi="Palatino Linotype" w:cs="Arial"/>
        </w:rPr>
        <w:t>, el S</w:t>
      </w:r>
      <w:r w:rsidRPr="00D84768">
        <w:rPr>
          <w:rFonts w:ascii="Palatino Linotype" w:hAnsi="Palatino Linotype" w:cs="Arial"/>
        </w:rPr>
        <w:t>ujeto Obligado en fecha</w:t>
      </w:r>
      <w:r w:rsidR="00424C23" w:rsidRPr="00D84768">
        <w:rPr>
          <w:rFonts w:ascii="Palatino Linotype" w:hAnsi="Palatino Linotype" w:cs="Arial"/>
        </w:rPr>
        <w:t xml:space="preserve"> diecisiete de diciembre de dos mil dieciocho, remitió 10 archivos electrónicos </w:t>
      </w:r>
      <w:r w:rsidR="005A242B" w:rsidRPr="00D84768">
        <w:rPr>
          <w:rFonts w:ascii="Palatino Linotype" w:hAnsi="Palatino Linotype" w:cs="Arial"/>
        </w:rPr>
        <w:t>los cuales fueron descritos en los antecedentes de la presente resolución y que fueron puestos a la vista del particular por actualizar información correspondiente a la solicitud.</w:t>
      </w:r>
    </w:p>
    <w:p w14:paraId="68C18BBE" w14:textId="3ED41AA5" w:rsidR="00BD21A9" w:rsidRPr="00D84768" w:rsidRDefault="009E01A7" w:rsidP="00A2016B">
      <w:pPr>
        <w:pStyle w:val="NormalWeb"/>
        <w:spacing w:line="360" w:lineRule="auto"/>
        <w:jc w:val="both"/>
        <w:rPr>
          <w:rFonts w:ascii="Palatino Linotype" w:hAnsi="Palatino Linotype" w:cs="Arial"/>
        </w:rPr>
      </w:pPr>
      <w:r w:rsidRPr="00D84768">
        <w:rPr>
          <w:rFonts w:ascii="Palatino Linotype" w:hAnsi="Palatino Linotype" w:cs="Arial"/>
        </w:rPr>
        <w:t>A</w:t>
      </w:r>
      <w:r w:rsidR="00BD21A9" w:rsidRPr="00D84768">
        <w:rPr>
          <w:rFonts w:ascii="Palatino Linotype" w:hAnsi="Palatino Linotype" w:cs="Arial"/>
        </w:rPr>
        <w:t xml:space="preserve">ntes de comenzar con el análisis de la información requerida, es indispensable establecer que el Sujeto Obligado a través de su respuesta asumió la existencia de la </w:t>
      </w:r>
      <w:r w:rsidR="00BD21A9" w:rsidRPr="00D84768">
        <w:rPr>
          <w:rFonts w:ascii="Palatino Linotype" w:hAnsi="Palatino Linotype" w:cs="Arial"/>
        </w:rPr>
        <w:lastRenderedPageBreak/>
        <w:t xml:space="preserve">información peticionada, tan es así que respondió a varios de los requerimientos planteados por la solicitante, </w:t>
      </w:r>
      <w:r w:rsidR="0089325C" w:rsidRPr="00D84768">
        <w:rPr>
          <w:rFonts w:ascii="Palatino Linotype" w:hAnsi="Palatino Linotype" w:cs="Arial"/>
        </w:rPr>
        <w:t>por lo que asume que cuenta con la información y por ende se obvia la análisis de las atribuciones del Sujeto Obligado para contar con la misma.</w:t>
      </w:r>
    </w:p>
    <w:p w14:paraId="1737081A" w14:textId="53270232" w:rsidR="00452E9E" w:rsidRPr="00D84768" w:rsidRDefault="009E01A7" w:rsidP="00452E9E">
      <w:pPr>
        <w:pStyle w:val="NormalWeb"/>
        <w:spacing w:line="360" w:lineRule="auto"/>
        <w:jc w:val="both"/>
        <w:rPr>
          <w:rFonts w:ascii="Palatino Linotype" w:hAnsi="Palatino Linotype" w:cs="Arial"/>
        </w:rPr>
      </w:pPr>
      <w:r w:rsidRPr="00D84768">
        <w:rPr>
          <w:rFonts w:ascii="Palatino Linotype" w:hAnsi="Palatino Linotype" w:cs="Arial"/>
        </w:rPr>
        <w:t xml:space="preserve">Expuesto lo anterior, recordemos que la particular requirió en </w:t>
      </w:r>
      <w:r w:rsidR="0022626D" w:rsidRPr="00D84768">
        <w:rPr>
          <w:rFonts w:ascii="Palatino Linotype" w:hAnsi="Palatino Linotype" w:cs="Arial"/>
        </w:rPr>
        <w:t xml:space="preserve">el numeral 1 </w:t>
      </w:r>
      <w:r w:rsidR="003F5889" w:rsidRPr="00D84768">
        <w:rPr>
          <w:rFonts w:ascii="Palatino Linotype" w:hAnsi="Palatino Linotype" w:cs="Arial"/>
        </w:rPr>
        <w:t xml:space="preserve">el expediente conformado por el procedimiento de adquisición de las patrullas materia de la solicitud de información, </w:t>
      </w:r>
      <w:r w:rsidR="0067323E" w:rsidRPr="00D84768">
        <w:rPr>
          <w:rFonts w:ascii="Palatino Linotype" w:hAnsi="Palatino Linotype" w:cs="Arial"/>
        </w:rPr>
        <w:t xml:space="preserve">al respecto es de recordar que el Sujeto Obligado </w:t>
      </w:r>
      <w:r w:rsidR="00916193" w:rsidRPr="00D84768">
        <w:rPr>
          <w:rFonts w:ascii="Palatino Linotype" w:hAnsi="Palatino Linotype" w:cs="Arial"/>
        </w:rPr>
        <w:t>manifestó</w:t>
      </w:r>
      <w:r w:rsidR="00E6723F" w:rsidRPr="00D84768">
        <w:rPr>
          <w:rFonts w:ascii="Palatino Linotype" w:hAnsi="Palatino Linotype" w:cs="Arial"/>
        </w:rPr>
        <w:t>,</w:t>
      </w:r>
      <w:r w:rsidR="00916193" w:rsidRPr="00D84768">
        <w:rPr>
          <w:rFonts w:ascii="Palatino Linotype" w:hAnsi="Palatino Linotype" w:cs="Arial"/>
        </w:rPr>
        <w:t xml:space="preserve"> a través de su respuesta</w:t>
      </w:r>
      <w:r w:rsidR="00E6723F" w:rsidRPr="00D84768">
        <w:rPr>
          <w:rFonts w:ascii="Palatino Linotype" w:hAnsi="Palatino Linotype" w:cs="Arial"/>
        </w:rPr>
        <w:t>,</w:t>
      </w:r>
      <w:r w:rsidR="00916193" w:rsidRPr="00D84768">
        <w:rPr>
          <w:rFonts w:ascii="Palatino Linotype" w:hAnsi="Palatino Linotype" w:cs="Arial"/>
        </w:rPr>
        <w:t xml:space="preserve"> que la información se </w:t>
      </w:r>
      <w:r w:rsidR="00526266" w:rsidRPr="00D84768">
        <w:rPr>
          <w:rFonts w:ascii="Palatino Linotype" w:hAnsi="Palatino Linotype" w:cs="Arial"/>
        </w:rPr>
        <w:t>encontraba</w:t>
      </w:r>
      <w:r w:rsidR="00916193" w:rsidRPr="00D84768">
        <w:rPr>
          <w:rFonts w:ascii="Palatino Linotype" w:hAnsi="Palatino Linotype" w:cs="Arial"/>
        </w:rPr>
        <w:t xml:space="preserve"> </w:t>
      </w:r>
      <w:r w:rsidR="002F6249" w:rsidRPr="00D84768">
        <w:rPr>
          <w:rFonts w:ascii="Palatino Linotype" w:hAnsi="Palatino Linotype" w:cs="Arial"/>
        </w:rPr>
        <w:t xml:space="preserve">publicada en el portal electrónico de Información Pública de Oficio Mexiquense (Ipomex) en la fracción XXIX A </w:t>
      </w:r>
      <w:r w:rsidR="00B8245E" w:rsidRPr="00D84768">
        <w:rPr>
          <w:rFonts w:ascii="Palatino Linotype" w:hAnsi="Palatino Linotype" w:cs="Arial"/>
        </w:rPr>
        <w:t xml:space="preserve">en el apartado “Resultados de Procedimientos de Licitación e Invitación a cuando menos tres personas” </w:t>
      </w:r>
      <w:r w:rsidR="009D2A7F" w:rsidRPr="00D84768">
        <w:rPr>
          <w:rFonts w:ascii="Palatino Linotype" w:hAnsi="Palatino Linotype" w:cs="Arial"/>
        </w:rPr>
        <w:t xml:space="preserve">en los expedientes  LPN-HAT-RP-13-2018 LPN-HAT-RP-15-2018, respuesta en la que se omitió indicar la liga electrónica </w:t>
      </w:r>
      <w:r w:rsidR="00452E9E" w:rsidRPr="00D84768">
        <w:rPr>
          <w:rFonts w:ascii="Palatino Linotype" w:hAnsi="Palatino Linotype" w:cs="Arial"/>
        </w:rPr>
        <w:t>en la que se podría hallar dicha información, por lo que si bien la Ley en la materia permite que vía respuesta los Sujetos Obligados indiquen el sitio web en donde se podría encontrar la información solicitada, la remisión debe cumplir con ciertos criterios y especificaciones para que sea legamente válida.</w:t>
      </w:r>
    </w:p>
    <w:p w14:paraId="353E88B7" w14:textId="4055EC65" w:rsidR="00452E9E" w:rsidRPr="00D84768" w:rsidRDefault="00452E9E" w:rsidP="00452E9E">
      <w:pPr>
        <w:spacing w:before="240" w:after="240" w:line="360" w:lineRule="auto"/>
        <w:jc w:val="both"/>
        <w:rPr>
          <w:rFonts w:ascii="Palatino Linotype" w:hAnsi="Palatino Linotype" w:cs="Arial"/>
        </w:rPr>
      </w:pPr>
      <w:r w:rsidRPr="00D84768">
        <w:rPr>
          <w:rFonts w:ascii="Palatino Linotype" w:hAnsi="Palatino Linotype" w:cs="Arial"/>
        </w:rPr>
        <w:t xml:space="preserve">Lo anterior, con base en el artículo 161 dela Ley </w:t>
      </w:r>
      <w:r w:rsidR="00757DD4" w:rsidRPr="00D84768">
        <w:rPr>
          <w:rFonts w:ascii="Palatino Linotype" w:hAnsi="Palatino Linotype" w:cs="Arial"/>
        </w:rPr>
        <w:t>de Transparencia y Acceso a la Información Pública del Estado de México y Municipios</w:t>
      </w:r>
      <w:r w:rsidRPr="00D84768">
        <w:rPr>
          <w:rFonts w:ascii="Palatino Linotype" w:hAnsi="Palatino Linotype" w:cs="Arial"/>
        </w:rPr>
        <w:t>, que indica que cuando la información requerida por el solicitante ya esté disponible al público en medios impresos, en formatos electrónicos disponibles en internet o en cualquier otro medio se hará de conocimiento de los particulares la fuente, el lugar y la forma en que específicamente se pueda consultar la información, tal cual se desprende del artículo en mérito:</w:t>
      </w:r>
    </w:p>
    <w:p w14:paraId="3B0FA1F5" w14:textId="77777777" w:rsidR="00452E9E" w:rsidRPr="00D84768" w:rsidRDefault="00452E9E" w:rsidP="00452E9E">
      <w:pPr>
        <w:shd w:val="clear" w:color="auto" w:fill="FFFFFF"/>
        <w:spacing w:before="240" w:after="240"/>
        <w:ind w:left="851" w:right="900"/>
        <w:jc w:val="both"/>
        <w:rPr>
          <w:rFonts w:ascii="Palatino Linotype" w:hAnsi="Palatino Linotype"/>
          <w:color w:val="000000"/>
        </w:rPr>
      </w:pPr>
      <w:r w:rsidRPr="00D84768">
        <w:rPr>
          <w:rFonts w:ascii="Palatino Linotype" w:eastAsia="Arial" w:hAnsi="Palatino Linotype" w:cs="Arial"/>
          <w:i/>
          <w:sz w:val="22"/>
          <w:szCs w:val="22"/>
        </w:rPr>
        <w:lastRenderedPageBreak/>
        <w:t>“</w:t>
      </w:r>
      <w:r w:rsidRPr="00D84768">
        <w:rPr>
          <w:rFonts w:ascii="Palatino Linotype" w:eastAsia="Arial" w:hAnsi="Palatino Linotype" w:cs="Arial"/>
          <w:b/>
          <w:i/>
          <w:sz w:val="22"/>
          <w:szCs w:val="22"/>
        </w:rPr>
        <w:t>Artículo 161.</w:t>
      </w:r>
      <w:r w:rsidRPr="00D84768">
        <w:rPr>
          <w:rFonts w:ascii="Palatino Linotype" w:eastAsia="Arial"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D84768">
        <w:rPr>
          <w:rFonts w:ascii="Palatino Linotype" w:hAnsi="Palatino Linotype"/>
          <w:color w:val="000000"/>
        </w:rPr>
        <w:t xml:space="preserve"> “</w:t>
      </w:r>
    </w:p>
    <w:p w14:paraId="61C506CC" w14:textId="1EA77A7B" w:rsidR="00452E9E" w:rsidRPr="00D84768" w:rsidRDefault="00452E9E" w:rsidP="00452E9E">
      <w:pPr>
        <w:spacing w:before="240" w:after="240" w:line="360" w:lineRule="auto"/>
        <w:jc w:val="both"/>
        <w:rPr>
          <w:rFonts w:ascii="Palatino Linotype" w:hAnsi="Palatino Linotype" w:cs="Arial"/>
        </w:rPr>
      </w:pPr>
      <w:r w:rsidRPr="00D84768">
        <w:rPr>
          <w:rFonts w:ascii="Palatino Linotype" w:hAnsi="Palatino Linotype" w:cs="Arial"/>
        </w:rPr>
        <w:t xml:space="preserve">Por consiguiente, este Órgano Garante advierte que la Unidad de Transparencia no acató el procedimiento establecido en la Ley de la Materia, ya que únicamente refirió que la información se encontraba </w:t>
      </w:r>
      <w:r w:rsidR="00F66154" w:rsidRPr="00D84768">
        <w:rPr>
          <w:rFonts w:ascii="Palatino Linotype" w:hAnsi="Palatino Linotype" w:cs="Arial"/>
        </w:rPr>
        <w:t>disponible</w:t>
      </w:r>
      <w:r w:rsidRPr="00D84768">
        <w:rPr>
          <w:rFonts w:ascii="Palatino Linotype" w:hAnsi="Palatino Linotype" w:cs="Arial"/>
        </w:rPr>
        <w:t xml:space="preserve"> en el portal electrónico antes referido sin haber proporcionado la dirección electrónica específica del portal para evitar que el particular realizara una búsqueda entre toda la información, incumpliendo con ello lo estipulado en la Ley de la Materia, además de no haber acatado el plazo establecido de cinco días hábiles para informar el sitio en donde se encuentra la información publicada</w:t>
      </w:r>
      <w:r w:rsidRPr="00D84768">
        <w:rPr>
          <w:rFonts w:ascii="Palatino Linotype" w:hAnsi="Palatino Linotype" w:cs="Segoe UI"/>
        </w:rPr>
        <w:t>.</w:t>
      </w:r>
      <w:r w:rsidRPr="00D84768">
        <w:rPr>
          <w:rFonts w:ascii="Palatino Linotype" w:hAnsi="Palatino Linotype" w:cs="Segoe UI"/>
        </w:rPr>
        <w:tab/>
      </w:r>
    </w:p>
    <w:p w14:paraId="6B0AC511" w14:textId="736B0495" w:rsidR="00452E9E" w:rsidRPr="00D84768" w:rsidRDefault="00452E9E" w:rsidP="00452E9E">
      <w:pPr>
        <w:pStyle w:val="NormalWeb"/>
        <w:spacing w:line="360" w:lineRule="auto"/>
        <w:jc w:val="both"/>
        <w:rPr>
          <w:rFonts w:ascii="Palatino Linotype" w:hAnsi="Palatino Linotype" w:cs="Arial"/>
        </w:rPr>
      </w:pPr>
      <w:r w:rsidRPr="00D84768">
        <w:rPr>
          <w:rFonts w:ascii="Palatino Linotype" w:hAnsi="Palatino Linotype" w:cs="Arial"/>
        </w:rPr>
        <w:t xml:space="preserve">Ahora bien, </w:t>
      </w:r>
      <w:r w:rsidR="005B22E5" w:rsidRPr="00D84768">
        <w:rPr>
          <w:rFonts w:ascii="Palatino Linotype" w:hAnsi="Palatino Linotype" w:cs="Arial"/>
        </w:rPr>
        <w:t xml:space="preserve">de acuerdo con el particular </w:t>
      </w:r>
      <w:r w:rsidRPr="00D84768">
        <w:rPr>
          <w:rFonts w:ascii="Palatino Linotype" w:hAnsi="Palatino Linotype" w:cs="Arial"/>
        </w:rPr>
        <w:t xml:space="preserve">de la revisión hecha </w:t>
      </w:r>
      <w:r w:rsidR="005B22E5" w:rsidRPr="00D84768">
        <w:rPr>
          <w:rFonts w:ascii="Palatino Linotype" w:hAnsi="Palatino Linotype" w:cs="Arial"/>
        </w:rPr>
        <w:t xml:space="preserve">al portal </w:t>
      </w:r>
      <w:r w:rsidR="000921F5" w:rsidRPr="00D84768">
        <w:rPr>
          <w:rFonts w:ascii="Palatino Linotype" w:hAnsi="Palatino Linotype" w:cs="Arial"/>
        </w:rPr>
        <w:t>no se localizó la información solicitada, por lo anterior es que el Sujeto Obligado a través de los archivos denominados “</w:t>
      </w:r>
      <w:r w:rsidR="004B5E96" w:rsidRPr="00D84768">
        <w:rPr>
          <w:rFonts w:ascii="Palatino Linotype" w:hAnsi="Palatino Linotype" w:cs="Arial"/>
        </w:rPr>
        <w:t>EscaneoRR 04574 10001.pdf” y “EscaneoRR 04574 30001.pdf”</w:t>
      </w:r>
      <w:r w:rsidR="004143DE" w:rsidRPr="00D84768">
        <w:rPr>
          <w:rFonts w:ascii="Palatino Linotype" w:hAnsi="Palatino Linotype" w:cs="Arial"/>
        </w:rPr>
        <w:t xml:space="preserve"> remitió una guía para localizar los procedimientos de licitación y explicó que debido a la actualización el portal en la fracción, el número consecutivo pudiera variar por lo que le recomendaba seguir la guía anexa y buscar en los números a-4201 y a-4162.</w:t>
      </w:r>
    </w:p>
    <w:p w14:paraId="27AF7F21" w14:textId="72633CE7" w:rsidR="00941D1D" w:rsidRPr="00D84768" w:rsidRDefault="00C27DF7" w:rsidP="00452E9E">
      <w:pPr>
        <w:pStyle w:val="NormalWeb"/>
        <w:spacing w:line="360" w:lineRule="auto"/>
        <w:jc w:val="both"/>
        <w:rPr>
          <w:rFonts w:ascii="Palatino Linotype" w:hAnsi="Palatino Linotype" w:cs="Arial"/>
        </w:rPr>
      </w:pPr>
      <w:r w:rsidRPr="00D84768">
        <w:rPr>
          <w:rFonts w:ascii="Palatino Linotype" w:hAnsi="Palatino Linotype" w:cs="Arial"/>
        </w:rPr>
        <w:t>No obstante lo anterior, este Órgano Garante se dio a la tarea de verificar el portal Ipomex del Sujeto Obligado a</w:t>
      </w:r>
      <w:r w:rsidR="00927FA8" w:rsidRPr="00D84768">
        <w:rPr>
          <w:rFonts w:ascii="Palatino Linotype" w:hAnsi="Palatino Linotype" w:cs="Arial"/>
        </w:rPr>
        <w:t xml:space="preserve"> </w:t>
      </w:r>
      <w:r w:rsidRPr="00D84768">
        <w:rPr>
          <w:rFonts w:ascii="Palatino Linotype" w:hAnsi="Palatino Linotype" w:cs="Arial"/>
        </w:rPr>
        <w:t>fin de</w:t>
      </w:r>
      <w:r w:rsidR="00927FA8" w:rsidRPr="00D84768">
        <w:rPr>
          <w:rFonts w:ascii="Palatino Linotype" w:hAnsi="Palatino Linotype" w:cs="Arial"/>
        </w:rPr>
        <w:t xml:space="preserve"> verificar si con la guía remitida era posible acceder a la información, hallando lo siguiente:</w:t>
      </w:r>
    </w:p>
    <w:p w14:paraId="72D050E1" w14:textId="64245C55" w:rsidR="006B41EF" w:rsidRPr="00D84768" w:rsidRDefault="00B348D7" w:rsidP="00452E9E">
      <w:pPr>
        <w:pStyle w:val="NormalWeb"/>
        <w:spacing w:line="360" w:lineRule="auto"/>
        <w:jc w:val="both"/>
        <w:rPr>
          <w:rFonts w:ascii="Palatino Linotype" w:hAnsi="Palatino Linotype" w:cs="Arial"/>
        </w:rPr>
      </w:pPr>
      <w:r w:rsidRPr="00D84768">
        <w:rPr>
          <w:rFonts w:ascii="Palatino Linotype" w:hAnsi="Palatino Linotype" w:cs="Arial"/>
          <w:noProof/>
        </w:rPr>
        <w:lastRenderedPageBreak/>
        <w:drawing>
          <wp:anchor distT="0" distB="0" distL="114300" distR="114300" simplePos="0" relativeHeight="251675648" behindDoc="1" locked="0" layoutInCell="1" allowOverlap="1" wp14:anchorId="7E28AB66" wp14:editId="2D59FC11">
            <wp:simplePos x="0" y="0"/>
            <wp:positionH relativeFrom="margin">
              <wp:align>right</wp:align>
            </wp:positionH>
            <wp:positionV relativeFrom="paragraph">
              <wp:posOffset>-211455</wp:posOffset>
            </wp:positionV>
            <wp:extent cx="5438775" cy="214277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574.png"/>
                    <pic:cNvPicPr/>
                  </pic:nvPicPr>
                  <pic:blipFill>
                    <a:blip r:embed="rId8">
                      <a:extLst>
                        <a:ext uri="{28A0092B-C50C-407E-A947-70E740481C1C}">
                          <a14:useLocalDpi xmlns:a14="http://schemas.microsoft.com/office/drawing/2010/main" val="0"/>
                        </a:ext>
                      </a:extLst>
                    </a:blip>
                    <a:stretch>
                      <a:fillRect/>
                    </a:stretch>
                  </pic:blipFill>
                  <pic:spPr>
                    <a:xfrm>
                      <a:off x="0" y="0"/>
                      <a:ext cx="5438775" cy="2142772"/>
                    </a:xfrm>
                    <a:prstGeom prst="rect">
                      <a:avLst/>
                    </a:prstGeom>
                  </pic:spPr>
                </pic:pic>
              </a:graphicData>
            </a:graphic>
          </wp:anchor>
        </w:drawing>
      </w:r>
    </w:p>
    <w:p w14:paraId="3426FA40" w14:textId="5539A900" w:rsidR="006B41EF" w:rsidRPr="00D84768" w:rsidRDefault="006B41EF" w:rsidP="00A2016B">
      <w:pPr>
        <w:pStyle w:val="NormalWeb"/>
        <w:spacing w:line="360" w:lineRule="auto"/>
        <w:jc w:val="both"/>
        <w:rPr>
          <w:rFonts w:ascii="Palatino Linotype" w:hAnsi="Palatino Linotype" w:cs="Arial"/>
        </w:rPr>
      </w:pPr>
    </w:p>
    <w:p w14:paraId="55B18F7C" w14:textId="7C34A2C7" w:rsidR="006B41EF" w:rsidRPr="00D84768" w:rsidRDefault="006B41EF" w:rsidP="00A2016B">
      <w:pPr>
        <w:pStyle w:val="NormalWeb"/>
        <w:spacing w:line="360" w:lineRule="auto"/>
        <w:jc w:val="both"/>
        <w:rPr>
          <w:rFonts w:ascii="Palatino Linotype" w:hAnsi="Palatino Linotype" w:cs="Arial"/>
        </w:rPr>
      </w:pPr>
    </w:p>
    <w:p w14:paraId="444D61CB" w14:textId="26D79280" w:rsidR="006B41EF" w:rsidRPr="00D84768" w:rsidRDefault="006B41EF" w:rsidP="00A2016B">
      <w:pPr>
        <w:pStyle w:val="NormalWeb"/>
        <w:spacing w:line="360" w:lineRule="auto"/>
        <w:jc w:val="both"/>
        <w:rPr>
          <w:rFonts w:ascii="Palatino Linotype" w:hAnsi="Palatino Linotype" w:cs="Arial"/>
        </w:rPr>
      </w:pPr>
    </w:p>
    <w:p w14:paraId="67AD93F7" w14:textId="371C0348" w:rsidR="006B41EF" w:rsidRPr="00D84768" w:rsidRDefault="006B41EF" w:rsidP="00A2016B">
      <w:pPr>
        <w:pStyle w:val="NormalWeb"/>
        <w:spacing w:line="360" w:lineRule="auto"/>
        <w:jc w:val="both"/>
        <w:rPr>
          <w:rFonts w:ascii="Palatino Linotype" w:hAnsi="Palatino Linotype" w:cs="Arial"/>
        </w:rPr>
      </w:pPr>
      <w:r w:rsidRPr="00D84768">
        <w:rPr>
          <w:noProof/>
        </w:rPr>
        <w:drawing>
          <wp:anchor distT="0" distB="0" distL="114300" distR="114300" simplePos="0" relativeHeight="251676672" behindDoc="1" locked="0" layoutInCell="1" allowOverlap="1" wp14:anchorId="11E87C7D" wp14:editId="1A67F0A4">
            <wp:simplePos x="0" y="0"/>
            <wp:positionH relativeFrom="margin">
              <wp:posOffset>295275</wp:posOffset>
            </wp:positionH>
            <wp:positionV relativeFrom="paragraph">
              <wp:posOffset>15875</wp:posOffset>
            </wp:positionV>
            <wp:extent cx="5324475" cy="242125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24475" cy="2421255"/>
                    </a:xfrm>
                    <a:prstGeom prst="rect">
                      <a:avLst/>
                    </a:prstGeom>
                  </pic:spPr>
                </pic:pic>
              </a:graphicData>
            </a:graphic>
            <wp14:sizeRelH relativeFrom="margin">
              <wp14:pctWidth>0</wp14:pctWidth>
            </wp14:sizeRelH>
          </wp:anchor>
        </w:drawing>
      </w:r>
    </w:p>
    <w:p w14:paraId="0912682A" w14:textId="77777777" w:rsidR="006B41EF" w:rsidRPr="00D84768" w:rsidRDefault="006B41EF" w:rsidP="00A2016B">
      <w:pPr>
        <w:pStyle w:val="NormalWeb"/>
        <w:spacing w:line="360" w:lineRule="auto"/>
        <w:jc w:val="both"/>
        <w:rPr>
          <w:rFonts w:ascii="Palatino Linotype" w:hAnsi="Palatino Linotype" w:cs="Arial"/>
        </w:rPr>
      </w:pPr>
    </w:p>
    <w:p w14:paraId="2232C949" w14:textId="79A18313" w:rsidR="006B41EF" w:rsidRPr="00D84768" w:rsidRDefault="006B41EF" w:rsidP="00A2016B">
      <w:pPr>
        <w:pStyle w:val="NormalWeb"/>
        <w:spacing w:line="360" w:lineRule="auto"/>
        <w:jc w:val="both"/>
        <w:rPr>
          <w:rFonts w:ascii="Palatino Linotype" w:hAnsi="Palatino Linotype" w:cs="Arial"/>
        </w:rPr>
      </w:pPr>
    </w:p>
    <w:p w14:paraId="1160A793" w14:textId="71728CB8" w:rsidR="006B41EF" w:rsidRPr="00D84768" w:rsidRDefault="006B41EF" w:rsidP="00A2016B">
      <w:pPr>
        <w:pStyle w:val="NormalWeb"/>
        <w:spacing w:line="360" w:lineRule="auto"/>
        <w:jc w:val="both"/>
        <w:rPr>
          <w:rFonts w:ascii="Palatino Linotype" w:hAnsi="Palatino Linotype" w:cs="Arial"/>
        </w:rPr>
      </w:pPr>
    </w:p>
    <w:p w14:paraId="440972C4" w14:textId="3DA503EC" w:rsidR="006B41EF" w:rsidRPr="00D84768" w:rsidRDefault="006B41EF" w:rsidP="00A2016B">
      <w:pPr>
        <w:pStyle w:val="NormalWeb"/>
        <w:spacing w:line="360" w:lineRule="auto"/>
        <w:jc w:val="both"/>
        <w:rPr>
          <w:rFonts w:ascii="Palatino Linotype" w:hAnsi="Palatino Linotype" w:cs="Arial"/>
        </w:rPr>
      </w:pPr>
      <w:r w:rsidRPr="00D84768">
        <w:rPr>
          <w:noProof/>
        </w:rPr>
        <w:drawing>
          <wp:anchor distT="0" distB="0" distL="114300" distR="114300" simplePos="0" relativeHeight="251677696" behindDoc="1" locked="0" layoutInCell="1" allowOverlap="1" wp14:anchorId="712F5811" wp14:editId="08E93A83">
            <wp:simplePos x="0" y="0"/>
            <wp:positionH relativeFrom="margin">
              <wp:posOffset>234315</wp:posOffset>
            </wp:positionH>
            <wp:positionV relativeFrom="paragraph">
              <wp:posOffset>433070</wp:posOffset>
            </wp:positionV>
            <wp:extent cx="5391150" cy="23888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91150" cy="2388870"/>
                    </a:xfrm>
                    <a:prstGeom prst="rect">
                      <a:avLst/>
                    </a:prstGeom>
                  </pic:spPr>
                </pic:pic>
              </a:graphicData>
            </a:graphic>
            <wp14:sizeRelH relativeFrom="margin">
              <wp14:pctWidth>0</wp14:pctWidth>
            </wp14:sizeRelH>
          </wp:anchor>
        </w:drawing>
      </w:r>
    </w:p>
    <w:p w14:paraId="3984A42B" w14:textId="3155A4EE" w:rsidR="006B41EF" w:rsidRPr="00D84768" w:rsidRDefault="006B41EF" w:rsidP="00A2016B">
      <w:pPr>
        <w:pStyle w:val="NormalWeb"/>
        <w:spacing w:line="360" w:lineRule="auto"/>
        <w:jc w:val="both"/>
        <w:rPr>
          <w:rFonts w:ascii="Palatino Linotype" w:hAnsi="Palatino Linotype" w:cs="Arial"/>
        </w:rPr>
      </w:pPr>
    </w:p>
    <w:p w14:paraId="309ACCBB" w14:textId="77777777" w:rsidR="006B41EF" w:rsidRPr="00D84768" w:rsidRDefault="006B41EF" w:rsidP="00A2016B">
      <w:pPr>
        <w:pStyle w:val="NormalWeb"/>
        <w:spacing w:line="360" w:lineRule="auto"/>
        <w:jc w:val="both"/>
        <w:rPr>
          <w:rFonts w:ascii="Palatino Linotype" w:hAnsi="Palatino Linotype" w:cs="Arial"/>
        </w:rPr>
      </w:pPr>
    </w:p>
    <w:p w14:paraId="3DACE3DF" w14:textId="77777777" w:rsidR="006B41EF" w:rsidRPr="00D84768" w:rsidRDefault="006B41EF" w:rsidP="00A2016B">
      <w:pPr>
        <w:pStyle w:val="NormalWeb"/>
        <w:spacing w:line="360" w:lineRule="auto"/>
        <w:jc w:val="both"/>
        <w:rPr>
          <w:rFonts w:ascii="Palatino Linotype" w:hAnsi="Palatino Linotype" w:cs="Arial"/>
        </w:rPr>
      </w:pPr>
    </w:p>
    <w:p w14:paraId="2CAEB5DC" w14:textId="77777777" w:rsidR="006B41EF" w:rsidRPr="00D84768" w:rsidRDefault="006B41EF" w:rsidP="00A2016B">
      <w:pPr>
        <w:pStyle w:val="NormalWeb"/>
        <w:spacing w:line="360" w:lineRule="auto"/>
        <w:jc w:val="both"/>
        <w:rPr>
          <w:rFonts w:ascii="Palatino Linotype" w:hAnsi="Palatino Linotype" w:cs="Arial"/>
        </w:rPr>
      </w:pPr>
    </w:p>
    <w:p w14:paraId="45837637" w14:textId="77777777" w:rsidR="006B41EF" w:rsidRPr="00D84768" w:rsidRDefault="006B41EF" w:rsidP="00A2016B">
      <w:pPr>
        <w:pStyle w:val="NormalWeb"/>
        <w:spacing w:line="360" w:lineRule="auto"/>
        <w:jc w:val="both"/>
        <w:rPr>
          <w:rFonts w:ascii="Palatino Linotype" w:hAnsi="Palatino Linotype" w:cs="Arial"/>
        </w:rPr>
      </w:pPr>
    </w:p>
    <w:p w14:paraId="38BAFB22" w14:textId="43A5CCC1" w:rsidR="00D16EFF" w:rsidRPr="00D84768" w:rsidRDefault="004336A7" w:rsidP="00A2016B">
      <w:pPr>
        <w:pStyle w:val="NormalWeb"/>
        <w:spacing w:line="360" w:lineRule="auto"/>
        <w:jc w:val="both"/>
        <w:rPr>
          <w:rFonts w:ascii="Palatino Linotype" w:hAnsi="Palatino Linotype" w:cs="Arial"/>
        </w:rPr>
      </w:pPr>
      <w:r w:rsidRPr="00D84768">
        <w:rPr>
          <w:rFonts w:ascii="Palatino Linotype" w:hAnsi="Palatino Linotype" w:cs="Arial"/>
        </w:rPr>
        <w:t>Como se ob</w:t>
      </w:r>
      <w:r w:rsidR="0065354D" w:rsidRPr="00D84768">
        <w:rPr>
          <w:rFonts w:ascii="Palatino Linotype" w:hAnsi="Palatino Linotype" w:cs="Arial"/>
        </w:rPr>
        <w:t>serva de las imágenes insertas, la gu</w:t>
      </w:r>
      <w:r w:rsidR="00531465" w:rsidRPr="00D84768">
        <w:rPr>
          <w:rFonts w:ascii="Palatino Linotype" w:hAnsi="Palatino Linotype" w:cs="Arial"/>
        </w:rPr>
        <w:t xml:space="preserve">ía remitida por el Sujeto Obligado no coincide con el método de búsqueda de la información </w:t>
      </w:r>
      <w:r w:rsidR="0055563C" w:rsidRPr="00D84768">
        <w:rPr>
          <w:rFonts w:ascii="Palatino Linotype" w:hAnsi="Palatino Linotype" w:cs="Arial"/>
        </w:rPr>
        <w:t xml:space="preserve">en el Ipomex, ya que la información correspondiente con el número de expedientes de licitación </w:t>
      </w:r>
      <w:r w:rsidR="00FC2E1C" w:rsidRPr="00D84768">
        <w:rPr>
          <w:rFonts w:ascii="Palatino Linotype" w:hAnsi="Palatino Linotype" w:cs="Arial"/>
        </w:rPr>
        <w:t xml:space="preserve">se </w:t>
      </w:r>
      <w:r w:rsidR="00FC2E1C" w:rsidRPr="00D84768">
        <w:rPr>
          <w:rFonts w:ascii="Palatino Linotype" w:hAnsi="Palatino Linotype" w:cs="Arial"/>
        </w:rPr>
        <w:lastRenderedPageBreak/>
        <w:t xml:space="preserve">encuentra en los registros 14 y 16, </w:t>
      </w:r>
      <w:r w:rsidR="00074FC9" w:rsidRPr="00D84768">
        <w:rPr>
          <w:rFonts w:ascii="Palatino Linotype" w:hAnsi="Palatino Linotype" w:cs="Arial"/>
        </w:rPr>
        <w:t xml:space="preserve">no así en los registros 12 y 13 </w:t>
      </w:r>
      <w:r w:rsidR="00245370" w:rsidRPr="00D84768">
        <w:rPr>
          <w:rFonts w:ascii="Palatino Linotype" w:hAnsi="Palatino Linotype" w:cs="Arial"/>
        </w:rPr>
        <w:t>señalados</w:t>
      </w:r>
      <w:r w:rsidR="00074FC9" w:rsidRPr="00D84768">
        <w:rPr>
          <w:rFonts w:ascii="Palatino Linotype" w:hAnsi="Palatino Linotype" w:cs="Arial"/>
        </w:rPr>
        <w:t xml:space="preserve"> mediante el informe justificado del Sujeto Obligado, como se muestra en seguida:</w:t>
      </w:r>
    </w:p>
    <w:p w14:paraId="583E3505" w14:textId="311DE6A7" w:rsidR="00074FC9" w:rsidRPr="00D84768" w:rsidRDefault="00074FC9" w:rsidP="00A2016B">
      <w:pPr>
        <w:pStyle w:val="NormalWeb"/>
        <w:spacing w:line="360" w:lineRule="auto"/>
        <w:jc w:val="both"/>
        <w:rPr>
          <w:rFonts w:ascii="Palatino Linotype" w:hAnsi="Palatino Linotype" w:cs="Arial"/>
        </w:rPr>
      </w:pPr>
      <w:r w:rsidRPr="00D84768">
        <w:rPr>
          <w:noProof/>
        </w:rPr>
        <w:drawing>
          <wp:inline distT="0" distB="0" distL="0" distR="0" wp14:anchorId="63266896" wp14:editId="3EC85EAE">
            <wp:extent cx="5612130" cy="20504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050415"/>
                    </a:xfrm>
                    <a:prstGeom prst="rect">
                      <a:avLst/>
                    </a:prstGeom>
                  </pic:spPr>
                </pic:pic>
              </a:graphicData>
            </a:graphic>
          </wp:inline>
        </w:drawing>
      </w:r>
    </w:p>
    <w:p w14:paraId="6B11770C" w14:textId="4766AD06" w:rsidR="00BF19D1" w:rsidRPr="00D84768" w:rsidRDefault="00916AFA" w:rsidP="00D34961">
      <w:pPr>
        <w:spacing w:before="240" w:after="240" w:line="360" w:lineRule="auto"/>
        <w:jc w:val="both"/>
        <w:rPr>
          <w:rFonts w:ascii="Palatino Linotype" w:hAnsi="Palatino Linotype" w:cs="Arial"/>
        </w:rPr>
      </w:pPr>
      <w:r w:rsidRPr="00D84768">
        <w:rPr>
          <w:rFonts w:ascii="Palatino Linotype" w:hAnsi="Palatino Linotype" w:cs="Arial"/>
        </w:rPr>
        <w:t xml:space="preserve">Sin embargo, </w:t>
      </w:r>
      <w:r w:rsidR="00BF19D1" w:rsidRPr="00D84768">
        <w:rPr>
          <w:rFonts w:ascii="Palatino Linotype" w:hAnsi="Palatino Linotype" w:cs="Arial"/>
        </w:rPr>
        <w:t xml:space="preserve">aunque el número de registro no es coincidente con el hallado por </w:t>
      </w:r>
      <w:r w:rsidR="009B1E14" w:rsidRPr="00D84768">
        <w:rPr>
          <w:rFonts w:ascii="Palatino Linotype" w:hAnsi="Palatino Linotype" w:cs="Arial"/>
        </w:rPr>
        <w:t>e</w:t>
      </w:r>
      <w:r w:rsidR="00BF19D1" w:rsidRPr="00D84768">
        <w:rPr>
          <w:rFonts w:ascii="Palatino Linotype" w:hAnsi="Palatino Linotype" w:cs="Arial"/>
        </w:rPr>
        <w:t>ste Órgano Garante, ello no implica que se realice una búsqueda exhaustiva en todo el portal de la información, ya que se ha señalado la fracción en donde se podría encontrar, aunado que a través del informe justificado se precisó que el número consecutivo o de registro varí</w:t>
      </w:r>
      <w:r w:rsidR="0068501E" w:rsidRPr="00D84768">
        <w:rPr>
          <w:rFonts w:ascii="Palatino Linotype" w:hAnsi="Palatino Linotype" w:cs="Arial"/>
        </w:rPr>
        <w:t>a</w:t>
      </w:r>
      <w:r w:rsidR="00BF19D1" w:rsidRPr="00D84768">
        <w:rPr>
          <w:rFonts w:ascii="Palatino Linotype" w:hAnsi="Palatino Linotype" w:cs="Arial"/>
        </w:rPr>
        <w:t xml:space="preserve"> debido a las actualizaciones </w:t>
      </w:r>
      <w:r w:rsidR="009B1E14" w:rsidRPr="00D84768">
        <w:rPr>
          <w:rFonts w:ascii="Palatino Linotype" w:hAnsi="Palatino Linotype" w:cs="Arial"/>
        </w:rPr>
        <w:t xml:space="preserve">de la misma; por ello al consultar la información publicada en dicha fracción se pudo constar que efectivamente en ambos casos se encuentra publicado desde la convocatoria a las licitaciones hasta los contratos firmados así como la justificación de la inaplicación de ciertos rubros a publicarse como como los son convenios modificatorios </w:t>
      </w:r>
      <w:r w:rsidR="00C66351" w:rsidRPr="00D84768">
        <w:rPr>
          <w:rFonts w:ascii="Palatino Linotype" w:hAnsi="Palatino Linotype" w:cs="Arial"/>
        </w:rPr>
        <w:t>y los avances, como a manera de ejemplo se muestra  continuación:</w:t>
      </w:r>
    </w:p>
    <w:p w14:paraId="1C8E2F0A" w14:textId="77777777" w:rsidR="00B348D7" w:rsidRPr="00D84768" w:rsidRDefault="00B348D7" w:rsidP="00D34961">
      <w:pPr>
        <w:spacing w:before="240" w:after="240" w:line="360" w:lineRule="auto"/>
        <w:jc w:val="both"/>
        <w:rPr>
          <w:rFonts w:ascii="Palatino Linotype" w:hAnsi="Palatino Linotype" w:cs="Arial"/>
        </w:rPr>
      </w:pPr>
    </w:p>
    <w:p w14:paraId="2AB8C7F0" w14:textId="77777777" w:rsidR="00B348D7" w:rsidRPr="00D84768" w:rsidRDefault="00B348D7" w:rsidP="00D34961">
      <w:pPr>
        <w:spacing w:before="240" w:after="240" w:line="360" w:lineRule="auto"/>
        <w:jc w:val="both"/>
        <w:rPr>
          <w:rFonts w:ascii="Palatino Linotype" w:hAnsi="Palatino Linotype" w:cs="Arial"/>
        </w:rPr>
      </w:pPr>
    </w:p>
    <w:p w14:paraId="0DDB101E" w14:textId="77777777" w:rsidR="00B348D7" w:rsidRPr="00D84768" w:rsidRDefault="00B348D7" w:rsidP="00D34961">
      <w:pPr>
        <w:spacing w:before="240" w:after="240" w:line="360" w:lineRule="auto"/>
        <w:jc w:val="both"/>
        <w:rPr>
          <w:rFonts w:ascii="Palatino Linotype" w:hAnsi="Palatino Linotype" w:cs="Arial"/>
        </w:rPr>
      </w:pPr>
    </w:p>
    <w:p w14:paraId="7248F4A9" w14:textId="28A51741" w:rsidR="00C66351" w:rsidRPr="00D84768" w:rsidRDefault="00B348D7" w:rsidP="00D34961">
      <w:pPr>
        <w:spacing w:before="240" w:after="240" w:line="360" w:lineRule="auto"/>
        <w:jc w:val="both"/>
        <w:rPr>
          <w:rFonts w:ascii="Palatino Linotype" w:hAnsi="Palatino Linotype" w:cs="Arial"/>
        </w:rPr>
      </w:pPr>
      <w:r w:rsidRPr="00D84768">
        <w:rPr>
          <w:rFonts w:ascii="Palatino Linotype" w:hAnsi="Palatino Linotype" w:cs="Arial"/>
          <w:noProof/>
          <w:lang w:val="es-MX" w:eastAsia="es-MX"/>
        </w:rPr>
        <w:lastRenderedPageBreak/>
        <w:drawing>
          <wp:anchor distT="0" distB="0" distL="114300" distR="114300" simplePos="0" relativeHeight="251678720" behindDoc="1" locked="0" layoutInCell="1" allowOverlap="1" wp14:anchorId="7BF4F11B" wp14:editId="7E444814">
            <wp:simplePos x="0" y="0"/>
            <wp:positionH relativeFrom="margin">
              <wp:align>center</wp:align>
            </wp:positionH>
            <wp:positionV relativeFrom="paragraph">
              <wp:posOffset>86360</wp:posOffset>
            </wp:positionV>
            <wp:extent cx="6804660" cy="7705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74-1.png"/>
                    <pic:cNvPicPr/>
                  </pic:nvPicPr>
                  <pic:blipFill rotWithShape="1">
                    <a:blip r:embed="rId12">
                      <a:extLst>
                        <a:ext uri="{28A0092B-C50C-407E-A947-70E740481C1C}">
                          <a14:useLocalDpi xmlns:a14="http://schemas.microsoft.com/office/drawing/2010/main" val="0"/>
                        </a:ext>
                      </a:extLst>
                    </a:blip>
                    <a:srcRect r="8022"/>
                    <a:stretch/>
                  </pic:blipFill>
                  <pic:spPr bwMode="auto">
                    <a:xfrm>
                      <a:off x="0" y="0"/>
                      <a:ext cx="6804660" cy="770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EC046" w14:textId="6DEFEEB2" w:rsidR="009E6009" w:rsidRPr="00D84768" w:rsidRDefault="00BF19D1" w:rsidP="00444FAD">
      <w:pPr>
        <w:rPr>
          <w:rFonts w:ascii="Palatino Linotype" w:hAnsi="Palatino Linotype" w:cs="Arial"/>
        </w:rPr>
      </w:pPr>
      <w:r w:rsidRPr="00D84768">
        <w:rPr>
          <w:rFonts w:ascii="Palatino Linotype" w:hAnsi="Palatino Linotype" w:cs="Arial"/>
        </w:rPr>
        <w:br w:type="page"/>
      </w:r>
    </w:p>
    <w:p w14:paraId="6B9D36FA" w14:textId="60CBEF89" w:rsidR="00444FAD" w:rsidRPr="00D84768" w:rsidRDefault="00444FAD" w:rsidP="00444FAD">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lastRenderedPageBreak/>
        <w:t xml:space="preserve">Al consultar los hipervínculos que se encuentran en cada uno de los apartados, se puede observar la existencia de la convocatoria, el acta de la junta de aclaraciones, el acta de presentación y apertura de propuestas, el dictamen de adjudicación del fallo, el número de contrato, el monto del contrato, el contrato, las fechas de inicio y término, todos ellos documentos que comprenden el expediente de las licitaciones </w:t>
      </w:r>
      <w:r w:rsidR="003D15A0" w:rsidRPr="00D84768">
        <w:rPr>
          <w:rFonts w:ascii="Palatino Linotype" w:hAnsi="Palatino Linotype" w:cs="Arial"/>
        </w:rPr>
        <w:t>requerido.</w:t>
      </w:r>
    </w:p>
    <w:p w14:paraId="08B0479D" w14:textId="77777777" w:rsidR="00C25BC7" w:rsidRPr="00D84768" w:rsidRDefault="00C25BC7" w:rsidP="00444FAD">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Ello es así, ya que en el Reglamento de la Ley de Contratación Pública del Estado de México y Municipios, se estipulan que las fases que comprenden el procedimiento de licitación pública, son las siguientes:</w:t>
      </w:r>
    </w:p>
    <w:p w14:paraId="26BB1F42" w14:textId="77777777" w:rsidR="00C25BC7" w:rsidRPr="00D84768" w:rsidRDefault="00C25BC7" w:rsidP="00C25BC7">
      <w:pPr>
        <w:shd w:val="clear" w:color="auto" w:fill="FFFFFF"/>
        <w:ind w:left="851" w:right="900"/>
        <w:jc w:val="both"/>
        <w:rPr>
          <w:rFonts w:ascii="Palatino Linotype" w:eastAsia="Arial" w:hAnsi="Palatino Linotype" w:cs="Arial"/>
          <w:i/>
          <w:sz w:val="22"/>
          <w:szCs w:val="22"/>
        </w:rPr>
      </w:pPr>
      <w:r w:rsidRPr="00D84768">
        <w:rPr>
          <w:rFonts w:ascii="Palatino Linotype" w:eastAsia="Arial" w:hAnsi="Palatino Linotype" w:cs="Arial"/>
          <w:b/>
          <w:i/>
          <w:sz w:val="22"/>
          <w:szCs w:val="22"/>
        </w:rPr>
        <w:t xml:space="preserve">Artículo 67.- </w:t>
      </w:r>
      <w:r w:rsidRPr="00D84768">
        <w:rPr>
          <w:rFonts w:ascii="Palatino Linotype" w:eastAsia="Arial" w:hAnsi="Palatino Linotype" w:cs="Arial"/>
          <w:i/>
          <w:sz w:val="22"/>
          <w:szCs w:val="22"/>
        </w:rPr>
        <w:t xml:space="preserve">El procedimiento de licitación pública comprende las siguientes fases: </w:t>
      </w:r>
    </w:p>
    <w:p w14:paraId="00CD2333" w14:textId="27ECA51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 xml:space="preserve">Publicación de la convocatoria; </w:t>
      </w:r>
    </w:p>
    <w:p w14:paraId="04F006FB"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Venta de las bases de licitación;</w:t>
      </w:r>
    </w:p>
    <w:p w14:paraId="31AE12EA"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Visita, en su caso, al sitio donde se vayan a suministrar los bienes o a prestar los servicios;</w:t>
      </w:r>
    </w:p>
    <w:p w14:paraId="3129ADC6"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 xml:space="preserve">Junta de aclaraciones, en su caso; </w:t>
      </w:r>
    </w:p>
    <w:p w14:paraId="1B88716B"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Acto de presentación y apertura de propuestas;</w:t>
      </w:r>
    </w:p>
    <w:p w14:paraId="0D0056A6"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Análisis y evaluación de propuestas;</w:t>
      </w:r>
    </w:p>
    <w:p w14:paraId="06AD5318"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 xml:space="preserve">Dictamen de adjudicación; </w:t>
      </w:r>
    </w:p>
    <w:p w14:paraId="018CD7A1"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 xml:space="preserve">Fallo; </w:t>
      </w:r>
    </w:p>
    <w:p w14:paraId="46A28EAE" w14:textId="7777777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 xml:space="preserve">Suscripción del contrato; y </w:t>
      </w:r>
    </w:p>
    <w:p w14:paraId="3899CBC8" w14:textId="6C260C97" w:rsidR="00C25BC7" w:rsidRPr="00D84768" w:rsidRDefault="00C25BC7" w:rsidP="00C25BC7">
      <w:pPr>
        <w:pStyle w:val="Prrafodelista"/>
        <w:numPr>
          <w:ilvl w:val="0"/>
          <w:numId w:val="22"/>
        </w:numPr>
        <w:shd w:val="clear" w:color="auto" w:fill="FFFFFF"/>
        <w:ind w:right="900"/>
        <w:jc w:val="both"/>
        <w:rPr>
          <w:rFonts w:ascii="Palatino Linotype" w:eastAsia="Arial" w:hAnsi="Palatino Linotype" w:cs="Arial"/>
          <w:i/>
          <w:sz w:val="22"/>
          <w:szCs w:val="22"/>
        </w:rPr>
      </w:pPr>
      <w:r w:rsidRPr="00D84768">
        <w:rPr>
          <w:rFonts w:ascii="Palatino Linotype" w:eastAsia="Arial" w:hAnsi="Palatino Linotype" w:cs="Arial"/>
          <w:i/>
          <w:sz w:val="22"/>
          <w:szCs w:val="22"/>
        </w:rPr>
        <w:t>Suministro de los bienes o inicio de la prestación del servicio.</w:t>
      </w:r>
    </w:p>
    <w:p w14:paraId="4A70EB4E" w14:textId="505A6D24" w:rsidR="00D05E40" w:rsidRPr="00D84768" w:rsidRDefault="00D05E40" w:rsidP="0015476C">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 xml:space="preserve">Como se observa, del precepto normativo citado, se advierte que los documentos publicados </w:t>
      </w:r>
      <w:r w:rsidR="00810035" w:rsidRPr="00D84768">
        <w:rPr>
          <w:rFonts w:ascii="Palatino Linotype" w:hAnsi="Palatino Linotype" w:cs="Arial"/>
        </w:rPr>
        <w:t>son coincidentes con el procedimiento que marca el Reglamento, por lo cual este Instituto Garante considera factible dar por satisfecho el derecho de acceso a la información pública del particular, toda vez que la información solicitada se encuentra disponible y accesible para toda persona dentro del portal Ipomex del Sujeto Obligado.</w:t>
      </w:r>
    </w:p>
    <w:p w14:paraId="63840AD0" w14:textId="79A5914D" w:rsidR="008646FF" w:rsidRPr="00D84768" w:rsidRDefault="00DC7914" w:rsidP="0015476C">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lastRenderedPageBreak/>
        <w:t>Siguiendo con el análisis y por</w:t>
      </w:r>
      <w:r w:rsidR="008646FF" w:rsidRPr="00D84768">
        <w:rPr>
          <w:rFonts w:ascii="Palatino Linotype" w:hAnsi="Palatino Linotype" w:cs="Arial"/>
        </w:rPr>
        <w:t xml:space="preserve"> cuanto hace a lo requerido en los numerales 2 y 3 de la solicitud, es de recordar que el particular a través de sus razones o motivos de inconformidad expresó haber recibido las facturas de cada una de las patrullas así como el nombre del proveedor de las mismas, no obstante, su inconformidad estriba en la omisión del Sujeto Obligado de haber entregado el Acuerdo mediante el cual el Comité de Transparencia clasificó parte de la información como confidencial </w:t>
      </w:r>
      <w:r w:rsidR="00E27200" w:rsidRPr="00D84768">
        <w:rPr>
          <w:rFonts w:ascii="Palatino Linotype" w:hAnsi="Palatino Linotype" w:cs="Arial"/>
        </w:rPr>
        <w:t>con el objeto de la elaboración de las versiones p</w:t>
      </w:r>
      <w:r w:rsidR="0072458C" w:rsidRPr="00D84768">
        <w:rPr>
          <w:rFonts w:ascii="Palatino Linotype" w:hAnsi="Palatino Linotype" w:cs="Arial"/>
        </w:rPr>
        <w:t>úblicas remitidas, manifestaciones que resultan correctas, ya que de las constancias que obran en el expediente electrónico del SAIMEX no se advierte que se halla remitido dicho acuerdo</w:t>
      </w:r>
      <w:r w:rsidR="00C62F27" w:rsidRPr="00D84768">
        <w:rPr>
          <w:rFonts w:ascii="Palatino Linotype" w:hAnsi="Palatino Linotype" w:cs="Arial"/>
        </w:rPr>
        <w:t xml:space="preserve"> en respuesta ni vía informe justificado</w:t>
      </w:r>
      <w:r w:rsidR="0072458C" w:rsidRPr="00D84768">
        <w:rPr>
          <w:rFonts w:ascii="Palatino Linotype" w:hAnsi="Palatino Linotype" w:cs="Arial"/>
        </w:rPr>
        <w:t>.</w:t>
      </w:r>
    </w:p>
    <w:p w14:paraId="02FEB0E6" w14:textId="0041F359" w:rsidR="00763DAE" w:rsidRPr="00D84768" w:rsidRDefault="00763DAE" w:rsidP="0015476C">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 xml:space="preserve">En ese sentido, cabe señalar que la </w:t>
      </w:r>
      <w:r w:rsidR="00AE3B63" w:rsidRPr="00D84768">
        <w:rPr>
          <w:rFonts w:ascii="Palatino Linotype" w:hAnsi="Palatino Linotype" w:cs="Arial"/>
        </w:rPr>
        <w:t>Ley de Transparencia</w:t>
      </w:r>
      <w:r w:rsidR="00231E9F" w:rsidRPr="00D84768">
        <w:rPr>
          <w:rFonts w:ascii="Palatino Linotype" w:hAnsi="Palatino Linotype" w:cs="Arial"/>
        </w:rPr>
        <w:t xml:space="preserve"> y Acceso a la Información Pública del Estado de M</w:t>
      </w:r>
      <w:r w:rsidR="009B0CF1" w:rsidRPr="00D84768">
        <w:rPr>
          <w:rFonts w:ascii="Palatino Linotype" w:hAnsi="Palatino Linotype" w:cs="Arial"/>
        </w:rPr>
        <w:t>éxico y Municipios, indica en un principio que toda la información generada, obtenida, adquirida, transformada, administrada o en posesión de los Sujetos Obligados, es pública y accesible de manera permanente a cualquier persona, en los términos y condiciones que determine la normatividad aplicable en la materia y solo podrá ser clasificada excepcionalmente como reservada por razones de interés público bajos las causales legítimas y estrictamente necesarias</w:t>
      </w:r>
      <w:r w:rsidR="009B0CF1" w:rsidRPr="00D84768">
        <w:rPr>
          <w:rStyle w:val="Refdenotaalpie"/>
          <w:rFonts w:ascii="Palatino Linotype" w:hAnsi="Palatino Linotype" w:cs="Arial"/>
        </w:rPr>
        <w:footnoteReference w:id="1"/>
      </w:r>
      <w:r w:rsidR="009B0CF1" w:rsidRPr="00D84768">
        <w:rPr>
          <w:rFonts w:ascii="Palatino Linotype" w:hAnsi="Palatino Linotype" w:cs="Arial"/>
        </w:rPr>
        <w:t>.</w:t>
      </w:r>
    </w:p>
    <w:p w14:paraId="052F3CF3" w14:textId="5B093674" w:rsidR="009B0CF1" w:rsidRPr="00D84768" w:rsidRDefault="009B0CF1" w:rsidP="0015476C">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Además, señala que la clasificación de la información se puede dar en dos sentidos, ya sea como reservada o confidencial, dicha clasificación es el proceso mediante el cual el Sujeto Obligado determina que la información en su poder actualiza alguno de los supuestos de reserva o confidencialidad conforme a la Ley</w:t>
      </w:r>
      <w:r w:rsidRPr="00D84768">
        <w:rPr>
          <w:rStyle w:val="Refdenotaalpie"/>
          <w:rFonts w:ascii="Palatino Linotype" w:hAnsi="Palatino Linotype" w:cs="Arial"/>
        </w:rPr>
        <w:footnoteReference w:id="2"/>
      </w:r>
      <w:r w:rsidR="00EA2D50" w:rsidRPr="00D84768">
        <w:rPr>
          <w:rFonts w:ascii="Palatino Linotype" w:hAnsi="Palatino Linotype" w:cs="Arial"/>
        </w:rPr>
        <w:t xml:space="preserve">, por ello serán los </w:t>
      </w:r>
      <w:r w:rsidR="00EA2D50" w:rsidRPr="00D84768">
        <w:rPr>
          <w:rFonts w:ascii="Palatino Linotype" w:hAnsi="Palatino Linotype" w:cs="Arial"/>
        </w:rPr>
        <w:lastRenderedPageBreak/>
        <w:t>titulares de las áreas de los Sujetos Obligados responsables de clasificar la información.</w:t>
      </w:r>
    </w:p>
    <w:p w14:paraId="6E36F4B6" w14:textId="77777777" w:rsidR="00EA2D50" w:rsidRPr="00D84768" w:rsidRDefault="00EA2D50" w:rsidP="0015476C">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 xml:space="preserve">De la misma manera, la Ley de la Materia señala que los Sujetos Obligados deberán aplicar de manera restrictiva y limitada las excepciones de acceso a la información y sólo podrán invocarlas cuando acrediten su procedencia, sin ampliar las excepciones o supuestos de reserva o confidencialidad previstos en la normatividad, dicha clasificación se deberá de llevar a cabo en los siguientes momentos: </w:t>
      </w:r>
    </w:p>
    <w:p w14:paraId="5418EB56" w14:textId="65FA62FD" w:rsidR="00EA2D50" w:rsidRPr="00D84768" w:rsidRDefault="00EA2D50" w:rsidP="00EA2D50">
      <w:pPr>
        <w:pStyle w:val="Prrafodelista"/>
        <w:numPr>
          <w:ilvl w:val="0"/>
          <w:numId w:val="23"/>
        </w:num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Cuando se reciba un solicitud de acceso a la información.</w:t>
      </w:r>
    </w:p>
    <w:p w14:paraId="22C61F1C" w14:textId="64005721" w:rsidR="00EA2D50" w:rsidRPr="00D84768" w:rsidRDefault="00EA2D50" w:rsidP="00EA2D50">
      <w:pPr>
        <w:pStyle w:val="Prrafodelista"/>
        <w:numPr>
          <w:ilvl w:val="0"/>
          <w:numId w:val="23"/>
        </w:num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 xml:space="preserve">Se determine mediante resolución de autoridad competente </w:t>
      </w:r>
    </w:p>
    <w:p w14:paraId="7C1B6A0C" w14:textId="06D7C750" w:rsidR="00EA2D50" w:rsidRPr="00D84768" w:rsidRDefault="00EA2D50" w:rsidP="00EA2D50">
      <w:pPr>
        <w:pStyle w:val="Prrafodelista"/>
        <w:numPr>
          <w:ilvl w:val="0"/>
          <w:numId w:val="23"/>
        </w:num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 xml:space="preserve">Se generen versiones públicas para dar cumplimiento </w:t>
      </w:r>
      <w:r w:rsidR="00E02064" w:rsidRPr="00D84768">
        <w:rPr>
          <w:rFonts w:ascii="Palatino Linotype" w:hAnsi="Palatino Linotype" w:cs="Arial"/>
        </w:rPr>
        <w:t>a las obligaciones de transparencia previstas en la Ley.</w:t>
      </w:r>
    </w:p>
    <w:p w14:paraId="5861F110" w14:textId="70586E36" w:rsidR="00EA2D50" w:rsidRPr="00D84768" w:rsidRDefault="00ED792A" w:rsidP="00ED792A">
      <w:pPr>
        <w:autoSpaceDE w:val="0"/>
        <w:autoSpaceDN w:val="0"/>
        <w:adjustRightInd w:val="0"/>
        <w:spacing w:before="240" w:after="240" w:line="360" w:lineRule="auto"/>
        <w:ind w:right="-91"/>
        <w:jc w:val="both"/>
        <w:rPr>
          <w:rFonts w:ascii="Palatino Linotype" w:hAnsi="Palatino Linotype" w:cs="Arial"/>
        </w:rPr>
      </w:pPr>
      <w:r w:rsidRPr="00D84768">
        <w:rPr>
          <w:rFonts w:ascii="Palatino Linotype" w:hAnsi="Palatino Linotype" w:cs="Arial"/>
        </w:rPr>
        <w:t>En ese sentido, el ordenamiento jurídico invocado, determina que cuando un documento requerido vía acceso a la información contenga partes que se consideren como información reservada o confidencial, los Sujetos Obligados podrán elaborar versiones públicas de los mismos con el fin de brindar el acceso a los documentos sin vulnerar otros derechos, es decir, que la Ley permite generar un documento en el que se elimine, suprime o borre información clasificada para permitir su acceso</w:t>
      </w:r>
      <w:r w:rsidRPr="00D84768">
        <w:rPr>
          <w:rStyle w:val="Refdenotaalpie"/>
          <w:rFonts w:ascii="Palatino Linotype" w:hAnsi="Palatino Linotype" w:cs="Arial"/>
        </w:rPr>
        <w:footnoteReference w:id="3"/>
      </w:r>
      <w:r w:rsidRPr="00D84768">
        <w:rPr>
          <w:rFonts w:ascii="Palatino Linotype" w:hAnsi="Palatino Linotype" w:cs="Arial"/>
        </w:rPr>
        <w:t xml:space="preserve">. </w:t>
      </w:r>
    </w:p>
    <w:p w14:paraId="0BE39139" w14:textId="1A45630C" w:rsidR="00586273" w:rsidRPr="00D84768" w:rsidRDefault="00586273" w:rsidP="00586273">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Es de resaltar que la clasificación para la realización de las versiones públicas no opera</w:t>
      </w:r>
      <w:r w:rsidR="00215C1A" w:rsidRPr="00D84768">
        <w:rPr>
          <w:rFonts w:ascii="Palatino Linotype" w:hAnsi="Palatino Linotype" w:cs="Arial"/>
        </w:rPr>
        <w:t>n</w:t>
      </w:r>
      <w:r w:rsidRPr="00D84768">
        <w:rPr>
          <w:rFonts w:ascii="Palatino Linotype" w:hAnsi="Palatino Linotype" w:cs="Arial"/>
        </w:rPr>
        <w:t xml:space="preserve"> con la simple supresión de datos que se haga en los documentos de que se trate o con la simple decisión que tome el Servidor Público Habilitado o el Responsable de la Unidad de Transparencia del Sujeto Obligado, sino que ello se </w:t>
      </w:r>
      <w:r w:rsidRPr="00D84768">
        <w:rPr>
          <w:rFonts w:ascii="Palatino Linotype" w:hAnsi="Palatino Linotype" w:cs="Arial"/>
        </w:rPr>
        <w:lastRenderedPageBreak/>
        <w:t>deberá realizarse en términos de lo que disponen los artículos 49 fracción VIII, 53, fracción X y 59, fracción V, de la Ley en consulta, cuyo sentido literal es el siguiente:</w:t>
      </w:r>
    </w:p>
    <w:p w14:paraId="3446E4BD"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49.</w:t>
      </w:r>
      <w:r w:rsidRPr="00D84768">
        <w:rPr>
          <w:rFonts w:ascii="Palatino Linotype" w:hAnsi="Palatino Linotype"/>
          <w:i/>
          <w:sz w:val="22"/>
          <w:szCs w:val="22"/>
        </w:rPr>
        <w:t xml:space="preserve"> </w:t>
      </w:r>
      <w:r w:rsidRPr="00D84768">
        <w:rPr>
          <w:rFonts w:ascii="Palatino Linotype" w:hAnsi="Palatino Linotype"/>
          <w:b/>
          <w:i/>
          <w:sz w:val="22"/>
          <w:szCs w:val="22"/>
        </w:rPr>
        <w:t>Los Comités de Transparencia</w:t>
      </w:r>
      <w:r w:rsidRPr="00D84768">
        <w:rPr>
          <w:rFonts w:ascii="Palatino Linotype" w:hAnsi="Palatino Linotype"/>
          <w:i/>
          <w:sz w:val="22"/>
          <w:szCs w:val="22"/>
        </w:rPr>
        <w:t xml:space="preserve"> tendrán las siguientes atribuciones:</w:t>
      </w:r>
    </w:p>
    <w:p w14:paraId="1EC206DF"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VIII. Aprobar, modificar o revocar la clasificación de la información</w:t>
      </w:r>
      <w:r w:rsidRPr="00D84768">
        <w:rPr>
          <w:rFonts w:ascii="Palatino Linotype" w:hAnsi="Palatino Linotype"/>
          <w:i/>
          <w:sz w:val="22"/>
          <w:szCs w:val="22"/>
        </w:rPr>
        <w:t>…”</w:t>
      </w:r>
    </w:p>
    <w:p w14:paraId="148E552F" w14:textId="77777777" w:rsidR="00586273" w:rsidRPr="00D84768" w:rsidRDefault="00586273" w:rsidP="00586273">
      <w:pPr>
        <w:spacing w:before="240"/>
        <w:ind w:left="993" w:right="1041"/>
        <w:contextualSpacing/>
        <w:jc w:val="both"/>
        <w:rPr>
          <w:rFonts w:ascii="Palatino Linotype" w:hAnsi="Palatino Linotype"/>
          <w:b/>
          <w:i/>
          <w:sz w:val="22"/>
          <w:szCs w:val="22"/>
        </w:rPr>
      </w:pPr>
    </w:p>
    <w:p w14:paraId="33669A15"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i/>
          <w:sz w:val="22"/>
          <w:szCs w:val="22"/>
        </w:rPr>
        <w:t>“</w:t>
      </w:r>
      <w:r w:rsidRPr="00D84768">
        <w:rPr>
          <w:rFonts w:ascii="Palatino Linotype" w:hAnsi="Palatino Linotype"/>
          <w:b/>
          <w:i/>
          <w:sz w:val="22"/>
          <w:szCs w:val="22"/>
        </w:rPr>
        <w:t>Artículo 53.</w:t>
      </w:r>
      <w:r w:rsidRPr="00D84768">
        <w:rPr>
          <w:rFonts w:ascii="Palatino Linotype" w:hAnsi="Palatino Linotype"/>
          <w:i/>
          <w:sz w:val="22"/>
          <w:szCs w:val="22"/>
        </w:rPr>
        <w:t xml:space="preserve"> Las </w:t>
      </w:r>
      <w:r w:rsidRPr="00D84768">
        <w:rPr>
          <w:rFonts w:ascii="Palatino Linotype" w:hAnsi="Palatino Linotype"/>
          <w:b/>
          <w:i/>
          <w:sz w:val="22"/>
          <w:szCs w:val="22"/>
        </w:rPr>
        <w:t>Unidades de Transparencia</w:t>
      </w:r>
      <w:r w:rsidRPr="00D84768">
        <w:rPr>
          <w:rFonts w:ascii="Palatino Linotype" w:hAnsi="Palatino Linotype"/>
          <w:i/>
          <w:sz w:val="22"/>
          <w:szCs w:val="22"/>
        </w:rPr>
        <w:t xml:space="preserve"> tendrán las siguientes </w:t>
      </w:r>
      <w:r w:rsidRPr="00D84768">
        <w:rPr>
          <w:rFonts w:ascii="Palatino Linotype" w:hAnsi="Palatino Linotype"/>
          <w:b/>
          <w:i/>
          <w:sz w:val="22"/>
          <w:szCs w:val="22"/>
        </w:rPr>
        <w:t>funciones</w:t>
      </w:r>
      <w:r w:rsidRPr="00D84768">
        <w:rPr>
          <w:rFonts w:ascii="Palatino Linotype" w:hAnsi="Palatino Linotype"/>
          <w:i/>
          <w:sz w:val="22"/>
          <w:szCs w:val="22"/>
        </w:rPr>
        <w:t>:</w:t>
      </w:r>
    </w:p>
    <w:p w14:paraId="0231DF57"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X. Presentar ante el Comité, el proyecto de clasificación de información</w:t>
      </w:r>
      <w:r w:rsidRPr="00D84768">
        <w:rPr>
          <w:rFonts w:ascii="Palatino Linotype" w:hAnsi="Palatino Linotype"/>
          <w:i/>
          <w:sz w:val="22"/>
          <w:szCs w:val="22"/>
        </w:rPr>
        <w:t xml:space="preserve">…” </w:t>
      </w:r>
    </w:p>
    <w:p w14:paraId="4E51B990" w14:textId="77777777" w:rsidR="00586273" w:rsidRPr="00D84768" w:rsidRDefault="00586273" w:rsidP="00586273">
      <w:pPr>
        <w:spacing w:before="240"/>
        <w:ind w:left="993" w:right="1041"/>
        <w:contextualSpacing/>
        <w:jc w:val="both"/>
        <w:rPr>
          <w:rFonts w:ascii="Palatino Linotype" w:hAnsi="Palatino Linotype"/>
          <w:i/>
          <w:sz w:val="22"/>
          <w:szCs w:val="22"/>
        </w:rPr>
      </w:pPr>
    </w:p>
    <w:p w14:paraId="3048A28E"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59.</w:t>
      </w:r>
      <w:r w:rsidRPr="00D84768">
        <w:rPr>
          <w:rFonts w:ascii="Palatino Linotype" w:hAnsi="Palatino Linotype"/>
          <w:i/>
          <w:sz w:val="22"/>
          <w:szCs w:val="22"/>
        </w:rPr>
        <w:t xml:space="preserve"> Los </w:t>
      </w:r>
      <w:r w:rsidRPr="00D84768">
        <w:rPr>
          <w:rFonts w:ascii="Palatino Linotype" w:hAnsi="Palatino Linotype"/>
          <w:b/>
          <w:i/>
          <w:sz w:val="22"/>
          <w:szCs w:val="22"/>
        </w:rPr>
        <w:t>servidores públicos habilitados</w:t>
      </w:r>
      <w:r w:rsidRPr="00D84768">
        <w:rPr>
          <w:rFonts w:ascii="Palatino Linotype" w:hAnsi="Palatino Linotype"/>
          <w:i/>
          <w:sz w:val="22"/>
          <w:szCs w:val="22"/>
        </w:rPr>
        <w:t xml:space="preserve"> tendrán las </w:t>
      </w:r>
      <w:r w:rsidRPr="00D84768">
        <w:rPr>
          <w:rFonts w:ascii="Palatino Linotype" w:hAnsi="Palatino Linotype"/>
          <w:b/>
          <w:i/>
          <w:sz w:val="22"/>
          <w:szCs w:val="22"/>
        </w:rPr>
        <w:t>funciones</w:t>
      </w:r>
      <w:r w:rsidRPr="00D84768">
        <w:rPr>
          <w:rFonts w:ascii="Palatino Linotype" w:hAnsi="Palatino Linotype"/>
          <w:i/>
          <w:sz w:val="22"/>
          <w:szCs w:val="22"/>
        </w:rPr>
        <w:t xml:space="preserve"> siguientes:</w:t>
      </w:r>
    </w:p>
    <w:p w14:paraId="6D90F8E0" w14:textId="77777777" w:rsidR="00586273" w:rsidRPr="00D84768" w:rsidRDefault="00586273" w:rsidP="00586273">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V. Integrar y presentar al responsable de la Unidad de Transparencia la propuesta de clasificación de información</w:t>
      </w:r>
      <w:r w:rsidRPr="00D84768">
        <w:rPr>
          <w:rFonts w:ascii="Palatino Linotype" w:hAnsi="Palatino Linotype"/>
          <w:i/>
          <w:sz w:val="22"/>
          <w:szCs w:val="22"/>
        </w:rPr>
        <w:t>, la cual tendrá los fundamentos y argumentos en que se basa dicha propuesta…”</w:t>
      </w:r>
    </w:p>
    <w:p w14:paraId="6DA89AAA" w14:textId="77777777" w:rsidR="00586273" w:rsidRPr="00D84768" w:rsidRDefault="00586273" w:rsidP="00586273">
      <w:pPr>
        <w:spacing w:before="240" w:after="240" w:line="360" w:lineRule="auto"/>
        <w:jc w:val="both"/>
        <w:rPr>
          <w:rFonts w:ascii="Palatino Linotype" w:hAnsi="Palatino Linotype" w:cs="Arial"/>
        </w:rPr>
      </w:pPr>
      <w:r w:rsidRPr="00D84768">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8425E2C" w14:textId="5FF4ADB5" w:rsidR="00586273" w:rsidRPr="00D84768" w:rsidRDefault="00586273" w:rsidP="00586273">
      <w:pPr>
        <w:spacing w:before="240" w:after="240" w:line="360" w:lineRule="auto"/>
        <w:jc w:val="both"/>
        <w:rPr>
          <w:rFonts w:ascii="Palatino Linotype" w:hAnsi="Palatino Linotype"/>
          <w:color w:val="000000"/>
        </w:rPr>
      </w:pPr>
      <w:r w:rsidRPr="00D84768">
        <w:rPr>
          <w:rFonts w:ascii="Palatino Linotype" w:hAnsi="Palatino Linotype" w:cs="Arial"/>
        </w:rPr>
        <w:t>Para lo cual, en el caso de información de carácter confidencial se debe atender a lo que señala el artículo 149 de la Ley de Transparencia Local vigente, que se lee como sigue:</w:t>
      </w:r>
    </w:p>
    <w:p w14:paraId="2523A5E9" w14:textId="77777777" w:rsidR="00586273" w:rsidRPr="00D84768" w:rsidRDefault="00586273" w:rsidP="00586273">
      <w:pPr>
        <w:spacing w:before="240" w:after="240"/>
        <w:ind w:left="993" w:right="1041"/>
        <w:jc w:val="both"/>
        <w:rPr>
          <w:rFonts w:ascii="Palatino Linotype" w:hAnsi="Palatino Linotype" w:cs="Arial"/>
          <w:i/>
          <w:sz w:val="22"/>
          <w:szCs w:val="22"/>
        </w:rPr>
      </w:pPr>
      <w:r w:rsidRPr="00D84768">
        <w:rPr>
          <w:rFonts w:ascii="Palatino Linotype" w:hAnsi="Palatino Linotype"/>
          <w:i/>
          <w:color w:val="000000"/>
          <w:sz w:val="22"/>
          <w:szCs w:val="22"/>
        </w:rPr>
        <w:lastRenderedPageBreak/>
        <w:t>“</w:t>
      </w:r>
      <w:r w:rsidRPr="00D84768">
        <w:rPr>
          <w:rFonts w:ascii="Palatino Linotype" w:hAnsi="Palatino Linotype"/>
          <w:b/>
          <w:i/>
          <w:sz w:val="22"/>
          <w:szCs w:val="22"/>
        </w:rPr>
        <w:t>Artículo 149.</w:t>
      </w:r>
      <w:r w:rsidRPr="00D84768">
        <w:rPr>
          <w:rFonts w:ascii="Palatino Linotype" w:hAnsi="Palatino Linotype"/>
          <w:i/>
          <w:sz w:val="22"/>
          <w:szCs w:val="22"/>
        </w:rPr>
        <w:t xml:space="preserve"> El </w:t>
      </w:r>
      <w:r w:rsidRPr="00D84768">
        <w:rPr>
          <w:rFonts w:ascii="Palatino Linotype" w:hAnsi="Palatino Linotype"/>
          <w:b/>
          <w:i/>
          <w:sz w:val="22"/>
          <w:szCs w:val="22"/>
        </w:rPr>
        <w:t>acuerdo que clasifique la información como confidencial</w:t>
      </w:r>
      <w:r w:rsidRPr="00D8476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3A0B316" w14:textId="48B8D178" w:rsidR="00586273" w:rsidRPr="00D84768" w:rsidRDefault="00586273" w:rsidP="00586273">
      <w:pPr>
        <w:spacing w:before="240" w:after="240" w:line="360" w:lineRule="auto"/>
        <w:jc w:val="both"/>
        <w:rPr>
          <w:rFonts w:ascii="Palatino Linotype" w:hAnsi="Palatino Linotype" w:cs="Arial"/>
          <w:lang w:eastAsia="es-CO"/>
        </w:rPr>
      </w:pPr>
      <w:r w:rsidRPr="00D84768">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04B6C627" w14:textId="06372F4C" w:rsidR="00551858" w:rsidRPr="00D84768" w:rsidRDefault="007932AD" w:rsidP="00586273">
      <w:pPr>
        <w:spacing w:before="240" w:after="240" w:line="360" w:lineRule="auto"/>
        <w:jc w:val="both"/>
        <w:rPr>
          <w:rFonts w:ascii="Palatino Linotype" w:hAnsi="Palatino Linotype" w:cs="Arial"/>
          <w:lang w:eastAsia="es-CO"/>
        </w:rPr>
      </w:pPr>
      <w:r w:rsidRPr="00D84768">
        <w:rPr>
          <w:rFonts w:ascii="Palatino Linotype" w:hAnsi="Palatino Linotype" w:cs="Arial"/>
          <w:lang w:eastAsia="es-CO"/>
        </w:rPr>
        <w:t>Ahora bien, del análisis a las facturas remitidas, se puede observar que las versiones públicas remitidas no fueron realizadas correctamente por el Sujeto Obligado, ya que se advierte quedaron visibles algunos datos que por su naturaleza debieron testarse como fue el caso de teléfonos celulares de carácter</w:t>
      </w:r>
      <w:r w:rsidR="00551858" w:rsidRPr="00D84768">
        <w:rPr>
          <w:rFonts w:ascii="Palatino Linotype" w:hAnsi="Palatino Linotype" w:cs="Arial"/>
          <w:lang w:eastAsia="es-CO"/>
        </w:rPr>
        <w:t xml:space="preserve"> privado así como los nombres y</w:t>
      </w:r>
      <w:r w:rsidRPr="00D84768">
        <w:rPr>
          <w:rFonts w:ascii="Palatino Linotype" w:hAnsi="Palatino Linotype" w:cs="Arial"/>
          <w:lang w:eastAsia="es-CO"/>
        </w:rPr>
        <w:t xml:space="preserve"> firma</w:t>
      </w:r>
      <w:r w:rsidR="00551858" w:rsidRPr="00D84768">
        <w:rPr>
          <w:rFonts w:ascii="Palatino Linotype" w:hAnsi="Palatino Linotype" w:cs="Arial"/>
          <w:lang w:eastAsia="es-CO"/>
        </w:rPr>
        <w:t xml:space="preserve">s de particulares, los cuales se consideran información confidencial por tratarse de datos personales, es decir, que se trata de información concerniente a una persona identificada o identificable según lo dispuesto por la Ley de Protección de Datos Personales </w:t>
      </w:r>
      <w:r w:rsidR="00FA0C0F" w:rsidRPr="00D84768">
        <w:rPr>
          <w:rFonts w:ascii="Palatino Linotype" w:hAnsi="Palatino Linotype" w:cs="Arial"/>
          <w:lang w:eastAsia="es-CO"/>
        </w:rPr>
        <w:t xml:space="preserve">en Posesión de Sujetos Obligados </w:t>
      </w:r>
      <w:r w:rsidR="00551858" w:rsidRPr="00D84768">
        <w:rPr>
          <w:rFonts w:ascii="Palatino Linotype" w:hAnsi="Palatino Linotype" w:cs="Arial"/>
          <w:lang w:eastAsia="es-CO"/>
        </w:rPr>
        <w:t>del Estado de México</w:t>
      </w:r>
      <w:r w:rsidR="00FA0C0F" w:rsidRPr="00D84768">
        <w:rPr>
          <w:rFonts w:ascii="Palatino Linotype" w:hAnsi="Palatino Linotype" w:cs="Arial"/>
          <w:lang w:eastAsia="es-CO"/>
        </w:rPr>
        <w:t xml:space="preserve"> y Municipios</w:t>
      </w:r>
      <w:r w:rsidR="00551858" w:rsidRPr="00D84768">
        <w:rPr>
          <w:rFonts w:ascii="Palatino Linotype" w:hAnsi="Palatino Linotype" w:cs="Arial"/>
          <w:lang w:eastAsia="es-CO"/>
        </w:rPr>
        <w:t>.</w:t>
      </w:r>
    </w:p>
    <w:p w14:paraId="00975312" w14:textId="3923E1ED" w:rsidR="00033FB2" w:rsidRPr="00D84768" w:rsidRDefault="00033FB2" w:rsidP="00586273">
      <w:pPr>
        <w:spacing w:before="240" w:after="240" w:line="360" w:lineRule="auto"/>
        <w:jc w:val="both"/>
        <w:rPr>
          <w:rFonts w:ascii="Palatino Linotype" w:hAnsi="Palatino Linotype"/>
          <w:color w:val="000000"/>
          <w:shd w:val="clear" w:color="auto" w:fill="FFFFFF"/>
        </w:rPr>
      </w:pPr>
      <w:r w:rsidRPr="00D84768">
        <w:rPr>
          <w:rFonts w:ascii="Palatino Linotype" w:hAnsi="Palatino Linotype"/>
          <w:color w:val="000000"/>
          <w:shd w:val="clear" w:color="auto" w:fill="FFFFFF"/>
        </w:rPr>
        <w:t xml:space="preserve">Por lo que hace a los nombres de personas físicas, se considera que el nombre se integra con el sustantivo propio y el primer apellido de los padres, en el orden que, de común acuerdo determinen; asimismo es la manifestación principal del derecho </w:t>
      </w:r>
      <w:r w:rsidRPr="00D84768">
        <w:rPr>
          <w:rFonts w:ascii="Palatino Linotype" w:hAnsi="Palatino Linotype"/>
          <w:color w:val="000000"/>
          <w:shd w:val="clear" w:color="auto" w:fill="FFFFFF"/>
        </w:rPr>
        <w:lastRenderedPageBreak/>
        <w:t>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7F29F054" w14:textId="6D8DCE0B" w:rsidR="00033FB2" w:rsidRPr="00D84768" w:rsidRDefault="00033FB2" w:rsidP="00033FB2">
      <w:pPr>
        <w:shd w:val="clear" w:color="auto" w:fill="FFFFFF"/>
        <w:spacing w:before="240" w:after="240" w:line="360" w:lineRule="auto"/>
        <w:jc w:val="both"/>
        <w:rPr>
          <w:rFonts w:ascii="Palatino Linotype" w:hAnsi="Palatino Linotype"/>
          <w:color w:val="000000"/>
          <w:shd w:val="clear" w:color="auto" w:fill="FFFFFF"/>
        </w:rPr>
      </w:pPr>
      <w:r w:rsidRPr="00D84768">
        <w:rPr>
          <w:rFonts w:ascii="Palatino Linotype" w:hAnsi="Palatino Linotype"/>
          <w:color w:val="000000"/>
          <w:shd w:val="clear" w:color="auto" w:fill="FFFFFF"/>
        </w:rPr>
        <w:t>Mientras que la firma autógrafa constituye un dato personal, toda vez que en el transcurso del tiempo se ha consagrado como un símbolo de identificación y enlace entre el autor de lo escrito y su persona, toda vez que esta puede estar compuesta por el nombre y apellidos de la propia persona, o un conjunto de rasgos que se realizan siempre de la misma manera, pero ya sea de una u otra forma, se realizan siempre igual, y por ende hacen identificable a una persona y con esta a su vez se otorga autenticidad y se muestra la aprobación del contenido de un documento, por lo tanto resulta ser única e irrepetible.</w:t>
      </w:r>
    </w:p>
    <w:p w14:paraId="06F5B962" w14:textId="3676F183" w:rsidR="00033FB2" w:rsidRPr="00D84768" w:rsidRDefault="00033FB2" w:rsidP="00033FB2">
      <w:pPr>
        <w:shd w:val="clear" w:color="auto" w:fill="FFFFFF"/>
        <w:spacing w:before="240" w:after="240" w:line="360" w:lineRule="auto"/>
        <w:jc w:val="both"/>
        <w:textAlignment w:val="baseline"/>
        <w:rPr>
          <w:rFonts w:ascii="Palatino Linotype" w:hAnsi="Palatino Linotype"/>
          <w:color w:val="000000"/>
          <w:shd w:val="clear" w:color="auto" w:fill="FFFFFF"/>
        </w:rPr>
      </w:pPr>
      <w:r w:rsidRPr="00D84768">
        <w:rPr>
          <w:rFonts w:ascii="Palatino Linotype" w:hAnsi="Palatino Linotype"/>
          <w:color w:val="000000"/>
          <w:shd w:val="clear" w:color="auto" w:fill="FFFFFF"/>
        </w:rPr>
        <w:t>Sustenta lo anterior la definición de la Real Academia Española que se inserta enseguida, que a la letra dice lo siguiente:</w:t>
      </w:r>
    </w:p>
    <w:p w14:paraId="1BD5A99D" w14:textId="77777777" w:rsidR="00033FB2" w:rsidRPr="00D84768" w:rsidRDefault="00033FB2" w:rsidP="00507ACA">
      <w:pPr>
        <w:shd w:val="clear" w:color="auto" w:fill="FFFFFF"/>
        <w:ind w:left="851" w:right="902"/>
        <w:jc w:val="both"/>
        <w:textAlignment w:val="baseline"/>
        <w:rPr>
          <w:rFonts w:ascii="Palatino Linotype" w:hAnsi="Palatino Linotype"/>
          <w:i/>
          <w:color w:val="000000"/>
          <w:shd w:val="clear" w:color="auto" w:fill="FFFFFF"/>
        </w:rPr>
      </w:pPr>
      <w:r w:rsidRPr="00D84768">
        <w:rPr>
          <w:rFonts w:ascii="Palatino Linotype" w:hAnsi="Palatino Linotype"/>
          <w:color w:val="000000"/>
          <w:shd w:val="clear" w:color="auto" w:fill="FFFFFF"/>
        </w:rPr>
        <w:t>“</w:t>
      </w:r>
      <w:r w:rsidRPr="00D84768">
        <w:rPr>
          <w:rFonts w:ascii="Palatino Linotype" w:hAnsi="Palatino Linotype"/>
          <w:i/>
          <w:color w:val="000000"/>
          <w:shd w:val="clear" w:color="auto" w:fill="FFFFFF"/>
        </w:rPr>
        <w:t>Nombre y apellidos escritos por una persona de su propia mano en un documento, con o sin rubrica, para darle autenticidad o mostrar la aprobación de su contenido.”</w:t>
      </w:r>
    </w:p>
    <w:p w14:paraId="6ED8AAAC" w14:textId="77777777" w:rsidR="00033FB2" w:rsidRPr="00D84768" w:rsidRDefault="00033FB2" w:rsidP="00507ACA">
      <w:pPr>
        <w:shd w:val="clear" w:color="auto" w:fill="FFFFFF"/>
        <w:ind w:left="851" w:right="902"/>
        <w:jc w:val="both"/>
        <w:textAlignment w:val="baseline"/>
        <w:rPr>
          <w:rFonts w:ascii="Palatino Linotype" w:hAnsi="Palatino Linotype"/>
          <w:i/>
          <w:color w:val="000000"/>
          <w:shd w:val="clear" w:color="auto" w:fill="FFFFFF"/>
        </w:rPr>
      </w:pPr>
      <w:r w:rsidRPr="00D84768">
        <w:rPr>
          <w:rFonts w:ascii="Palatino Linotype" w:hAnsi="Palatino Linotype"/>
          <w:i/>
          <w:color w:val="000000"/>
          <w:shd w:val="clear" w:color="auto" w:fill="FFFFFF"/>
        </w:rPr>
        <w:t>“Rasgo o conjunto de rasgos, realizados siempre de la misma manera, que identifican a una persona y sustituyen a su nombre y apellidos para aprobar o dar autenticidad a un documento.”</w:t>
      </w:r>
    </w:p>
    <w:p w14:paraId="091882FF" w14:textId="77777777" w:rsidR="00033FB2" w:rsidRPr="00D84768" w:rsidRDefault="00033FB2" w:rsidP="00033FB2">
      <w:pPr>
        <w:shd w:val="clear" w:color="auto" w:fill="FFFFFF"/>
        <w:spacing w:before="240" w:after="240" w:line="360" w:lineRule="auto"/>
        <w:jc w:val="both"/>
        <w:rPr>
          <w:rFonts w:ascii="Palatino Linotype" w:hAnsi="Palatino Linotype"/>
          <w:color w:val="000000"/>
          <w:shd w:val="clear" w:color="auto" w:fill="FFFFFF"/>
        </w:rPr>
      </w:pPr>
      <w:r w:rsidRPr="00D84768">
        <w:rPr>
          <w:rFonts w:ascii="Palatino Linotype" w:hAnsi="Palatino Linotype"/>
          <w:color w:val="000000"/>
          <w:shd w:val="clear" w:color="auto" w:fill="FFFFFF"/>
        </w:rPr>
        <w:t>Mientras que el nombre, es conceptualizado por el Código Civil del Estado de México, como aquel que se designa a una persona, y que le permite diferenciarse de otro individuo, que se forma con el sustantivo propio y el primer apellido del padre y de la madre, el cual este constituye un dato personal e intransferible.</w:t>
      </w:r>
    </w:p>
    <w:p w14:paraId="0BF67E74" w14:textId="77777777" w:rsidR="00033FB2" w:rsidRPr="00D84768" w:rsidRDefault="00033FB2" w:rsidP="00586273">
      <w:pPr>
        <w:spacing w:before="240" w:after="240" w:line="360" w:lineRule="auto"/>
        <w:jc w:val="both"/>
        <w:rPr>
          <w:rFonts w:ascii="Palatino Linotype" w:hAnsi="Palatino Linotype" w:cs="Arial"/>
          <w:lang w:eastAsia="es-CO"/>
        </w:rPr>
      </w:pPr>
    </w:p>
    <w:p w14:paraId="2207F251" w14:textId="663F6D2B" w:rsidR="00507ACA" w:rsidRPr="00D84768" w:rsidRDefault="00507ACA" w:rsidP="00507ACA">
      <w:pPr>
        <w:spacing w:before="240" w:after="240" w:line="360" w:lineRule="auto"/>
        <w:jc w:val="both"/>
        <w:rPr>
          <w:rFonts w:ascii="Palatino Linotype" w:hAnsi="Palatino Linotype" w:cs="Arial"/>
          <w:color w:val="2F2F2F"/>
          <w:sz w:val="23"/>
          <w:szCs w:val="23"/>
          <w:shd w:val="clear" w:color="auto" w:fill="FFFFFF"/>
        </w:rPr>
      </w:pPr>
      <w:r w:rsidRPr="00D84768">
        <w:rPr>
          <w:rFonts w:ascii="Palatino Linotype" w:hAnsi="Palatino Linotype" w:cs="Arial"/>
          <w:lang w:eastAsia="es-CO"/>
        </w:rPr>
        <w:t xml:space="preserve">Relacionado con lo anterior, en las facturas también se pudo advertir que se dejó a la vista el </w:t>
      </w:r>
      <w:r w:rsidR="007932AD" w:rsidRPr="00D84768">
        <w:rPr>
          <w:rFonts w:ascii="Palatino Linotype" w:hAnsi="Palatino Linotype" w:cs="Arial"/>
          <w:lang w:eastAsia="es-CO"/>
        </w:rPr>
        <w:t xml:space="preserve">número de serie de </w:t>
      </w:r>
      <w:r w:rsidRPr="00D84768">
        <w:rPr>
          <w:rFonts w:ascii="Palatino Linotype" w:hAnsi="Palatino Linotype" w:cs="Arial"/>
          <w:lang w:eastAsia="es-CO"/>
        </w:rPr>
        <w:t>los automóviles</w:t>
      </w:r>
      <w:r w:rsidR="00551858" w:rsidRPr="00D84768">
        <w:rPr>
          <w:rFonts w:ascii="Palatino Linotype" w:hAnsi="Palatino Linotype" w:cs="Arial"/>
          <w:lang w:eastAsia="es-CO"/>
        </w:rPr>
        <w:t xml:space="preserve"> y</w:t>
      </w:r>
      <w:r w:rsidR="007932AD" w:rsidRPr="00D84768">
        <w:rPr>
          <w:rFonts w:ascii="Palatino Linotype" w:hAnsi="Palatino Linotype" w:cs="Arial"/>
          <w:lang w:eastAsia="es-CO"/>
        </w:rPr>
        <w:t xml:space="preserve"> </w:t>
      </w:r>
      <w:r w:rsidRPr="00D84768">
        <w:rPr>
          <w:rFonts w:ascii="Palatino Linotype" w:hAnsi="Palatino Linotype" w:cs="Arial"/>
          <w:lang w:eastAsia="es-CO"/>
        </w:rPr>
        <w:t xml:space="preserve">sus características, vehículos que </w:t>
      </w:r>
      <w:r w:rsidR="007932AD" w:rsidRPr="00D84768">
        <w:rPr>
          <w:rFonts w:ascii="Palatino Linotype" w:hAnsi="Palatino Linotype" w:cs="Arial"/>
          <w:lang w:eastAsia="es-CO"/>
        </w:rPr>
        <w:t>pretenden ser utilizados como patrullas</w:t>
      </w:r>
      <w:r w:rsidRPr="00D84768">
        <w:rPr>
          <w:rFonts w:ascii="Palatino Linotype" w:hAnsi="Palatino Linotype" w:cs="Arial"/>
          <w:lang w:eastAsia="es-CO"/>
        </w:rPr>
        <w:t xml:space="preserve">; en ese sentido cabe precisar que </w:t>
      </w:r>
      <w:r w:rsidRPr="00D84768">
        <w:rPr>
          <w:rFonts w:ascii="Palatino Linotype" w:hAnsi="Palatino Linotype"/>
          <w:color w:val="000000"/>
        </w:rPr>
        <w:t xml:space="preserve">el </w:t>
      </w:r>
      <w:r w:rsidRPr="00D84768">
        <w:rPr>
          <w:rFonts w:ascii="Palatino Linotype" w:hAnsi="Palatino Linotype"/>
          <w:color w:val="000000"/>
          <w:sz w:val="23"/>
          <w:szCs w:val="23"/>
        </w:rPr>
        <w:t xml:space="preserve">número de identificación vehicular (NIV), también conocido como número de serie o número de chasis, no coadyuva en absoluto a la transparencia, toda vez que el mismo es </w:t>
      </w:r>
      <w:r w:rsidRPr="00D84768">
        <w:rPr>
          <w:rFonts w:ascii="Palatino Linotype" w:hAnsi="Palatino Linotype" w:cs="Arial"/>
          <w:sz w:val="23"/>
          <w:szCs w:val="23"/>
          <w:shd w:val="clear" w:color="auto" w:fill="FFFFFF"/>
        </w:rPr>
        <w:t>asignado por quienes fabriquen, ensamblen o blinden vehículos en territorio nacional</w:t>
      </w:r>
      <w:r w:rsidRPr="00D84768">
        <w:rPr>
          <w:rStyle w:val="Refdenotaalpie"/>
          <w:rFonts w:ascii="Palatino Linotype" w:hAnsi="Palatino Linotype" w:cs="Arial"/>
          <w:sz w:val="23"/>
          <w:szCs w:val="23"/>
          <w:shd w:val="clear" w:color="auto" w:fill="FFFFFF"/>
        </w:rPr>
        <w:footnoteReference w:id="4"/>
      </w:r>
      <w:r w:rsidRPr="00D84768">
        <w:rPr>
          <w:rFonts w:ascii="Palatino Linotype" w:hAnsi="Palatino Linotype" w:cs="Arial"/>
          <w:sz w:val="23"/>
          <w:szCs w:val="23"/>
          <w:shd w:val="clear" w:color="auto" w:fill="FFFFFF"/>
        </w:rPr>
        <w:t xml:space="preserve">, el cual es </w:t>
      </w:r>
      <w:r w:rsidRPr="00D84768">
        <w:rPr>
          <w:rFonts w:ascii="Palatino Linotype" w:hAnsi="Palatino Linotype" w:cs="Arial"/>
          <w:color w:val="2F2F2F"/>
          <w:sz w:val="23"/>
          <w:szCs w:val="23"/>
          <w:shd w:val="clear" w:color="auto" w:fill="FFFFFF"/>
        </w:rPr>
        <w:t>grabado directamente sobre una pieza estructural sólida del vehículo, que puede ser el chasis o en caso de remolques, semirremolques y convertidores, en una pieza inamovible o difícilmente reemplazable de la carrocería o en una placa metálica o etiqueta que no pueda removerse sin ser destruida, a través de procedimientos que garanticen la permanencia del NIV durante la vida útil del vehículo bajo condiciones normales de uso.</w:t>
      </w:r>
    </w:p>
    <w:p w14:paraId="40CCA365" w14:textId="7E65CF92" w:rsidR="00507ACA" w:rsidRPr="00D84768" w:rsidRDefault="00507ACA" w:rsidP="00507ACA">
      <w:pPr>
        <w:spacing w:before="240" w:after="240" w:line="360" w:lineRule="auto"/>
        <w:jc w:val="both"/>
        <w:rPr>
          <w:rFonts w:ascii="Palatino Linotype" w:hAnsi="Palatino Linotype" w:cs="Arial"/>
          <w:color w:val="2F2F2F"/>
          <w:sz w:val="23"/>
          <w:szCs w:val="23"/>
          <w:shd w:val="clear" w:color="auto" w:fill="FFFFFF"/>
        </w:rPr>
      </w:pPr>
      <w:r w:rsidRPr="00D84768">
        <w:rPr>
          <w:rFonts w:ascii="Palatino Linotype" w:hAnsi="Palatino Linotype" w:cs="Arial"/>
          <w:color w:val="2F2F2F"/>
          <w:sz w:val="23"/>
          <w:szCs w:val="23"/>
          <w:shd w:val="clear" w:color="auto" w:fill="FFFFFF"/>
        </w:rPr>
        <w:t>El NIV o VIN por sus siglas en inglés, se trata de una secuencia única de identificación alfanumérica, compuesta por diecisiete dígitos, que permite a las autoridades validar el estatus legal de todo auto o moto en el territorio mexicano</w:t>
      </w:r>
      <w:r w:rsidRPr="00D84768">
        <w:rPr>
          <w:rStyle w:val="Refdenotaalpie"/>
          <w:rFonts w:ascii="Palatino Linotype" w:hAnsi="Palatino Linotype" w:cs="Arial"/>
          <w:color w:val="2F2F2F"/>
          <w:sz w:val="23"/>
          <w:szCs w:val="23"/>
          <w:shd w:val="clear" w:color="auto" w:fill="FFFFFF"/>
        </w:rPr>
        <w:footnoteReference w:id="5"/>
      </w:r>
      <w:r w:rsidR="00F22752" w:rsidRPr="00D84768">
        <w:rPr>
          <w:rFonts w:ascii="Palatino Linotype" w:hAnsi="Palatino Linotype" w:cs="Arial"/>
          <w:color w:val="2F2F2F"/>
          <w:sz w:val="23"/>
          <w:szCs w:val="23"/>
          <w:shd w:val="clear" w:color="auto" w:fill="FFFFFF"/>
        </w:rPr>
        <w:t>.</w:t>
      </w:r>
      <w:r w:rsidRPr="00D84768">
        <w:rPr>
          <w:rFonts w:ascii="Palatino Linotype" w:hAnsi="Palatino Linotype" w:cs="Arial"/>
          <w:color w:val="2F2F2F"/>
          <w:sz w:val="23"/>
          <w:szCs w:val="23"/>
          <w:shd w:val="clear" w:color="auto" w:fill="FFFFFF"/>
        </w:rPr>
        <w:t xml:space="preserve"> </w:t>
      </w:r>
    </w:p>
    <w:p w14:paraId="46E30F76" w14:textId="1BAB3156" w:rsidR="00507ACA" w:rsidRPr="00D84768" w:rsidRDefault="00507ACA" w:rsidP="00F22752">
      <w:pPr>
        <w:spacing w:before="240" w:after="240" w:line="360" w:lineRule="auto"/>
        <w:jc w:val="both"/>
        <w:rPr>
          <w:rFonts w:ascii="Palatino Linotype" w:hAnsi="Palatino Linotype" w:cs="Arial"/>
          <w:szCs w:val="19"/>
          <w:lang w:eastAsia="es-MX"/>
        </w:rPr>
      </w:pPr>
      <w:r w:rsidRPr="00D84768">
        <w:rPr>
          <w:rFonts w:ascii="Palatino Linotype" w:hAnsi="Palatino Linotype" w:cs="Arial"/>
          <w:color w:val="2F2F2F"/>
          <w:sz w:val="23"/>
          <w:szCs w:val="23"/>
          <w:shd w:val="clear" w:color="auto" w:fill="FFFFFF"/>
        </w:rPr>
        <w:t xml:space="preserve">Es decir, se trata de un dato que resume las características propias de cada vehículo, diferente en cada uno, que si bien debe ser colocado en una parte visible del vehículo, no es fácil de percibir; por ser un número de identificación del motor del automóvil, por ello, es de vital importancia para la marca, para piezas de cambio y políticas de garantías del motor, sin soslayar que es un sistema de seguridad que evita el mercado negro de autopartes y que </w:t>
      </w:r>
      <w:r w:rsidRPr="00D84768">
        <w:rPr>
          <w:rFonts w:ascii="Palatino Linotype" w:hAnsi="Palatino Linotype"/>
          <w:color w:val="000000"/>
          <w:sz w:val="23"/>
          <w:szCs w:val="23"/>
        </w:rPr>
        <w:t>queda registrado en la tar</w:t>
      </w:r>
      <w:r w:rsidR="00F22752" w:rsidRPr="00D84768">
        <w:rPr>
          <w:rFonts w:ascii="Palatino Linotype" w:hAnsi="Palatino Linotype"/>
          <w:color w:val="000000"/>
          <w:sz w:val="23"/>
          <w:szCs w:val="23"/>
        </w:rPr>
        <w:t>jeta de propiedad del vehículo; q</w:t>
      </w:r>
      <w:r w:rsidRPr="00D84768">
        <w:rPr>
          <w:rFonts w:ascii="Palatino Linotype" w:hAnsi="Palatino Linotype" w:cs="Arial"/>
          <w:szCs w:val="19"/>
          <w:lang w:eastAsia="es-MX"/>
        </w:rPr>
        <w:t xml:space="preserve">ue si bien </w:t>
      </w:r>
      <w:r w:rsidRPr="00D84768">
        <w:rPr>
          <w:rFonts w:ascii="Palatino Linotype" w:hAnsi="Palatino Linotype" w:cs="Arial"/>
          <w:szCs w:val="19"/>
          <w:lang w:eastAsia="es-MX"/>
        </w:rPr>
        <w:lastRenderedPageBreak/>
        <w:t>no hace referencia a datos personales que permitan hacer identificada o identificable a una persona, de conformidad con el artículo 4 fracción XI de la Ley de Protección de Datos Personales en Posesión de Sujetos del Estado de México y Municipios si se refiere a la información privada</w:t>
      </w:r>
      <w:r w:rsidR="00F22752" w:rsidRPr="00D84768">
        <w:rPr>
          <w:rFonts w:ascii="Palatino Linotype" w:hAnsi="Palatino Linotype" w:cs="Arial"/>
          <w:szCs w:val="19"/>
          <w:lang w:eastAsia="es-MX"/>
        </w:rPr>
        <w:t xml:space="preserve"> de vehículos que serán utilizados por la Dirección de Seguridad, por lo que reve</w:t>
      </w:r>
      <w:r w:rsidR="00E02DB6">
        <w:rPr>
          <w:rFonts w:ascii="Palatino Linotype" w:hAnsi="Palatino Linotype" w:cs="Arial"/>
          <w:szCs w:val="19"/>
          <w:lang w:eastAsia="es-MX"/>
        </w:rPr>
        <w:t>la</w:t>
      </w:r>
      <w:r w:rsidR="00F22752" w:rsidRPr="00D84768">
        <w:rPr>
          <w:rFonts w:ascii="Palatino Linotype" w:hAnsi="Palatino Linotype" w:cs="Arial"/>
          <w:szCs w:val="19"/>
          <w:lang w:eastAsia="es-MX"/>
        </w:rPr>
        <w:t>rlos así como sus características implicarían un riesgo para la seguridad y para el patrimonio del Ayuntamiento en cuestión, ya que se podría hacer mal uso de la información y vulnerar la seguridad de los automóviles que deberán obtener un Registro Vehicular</w:t>
      </w:r>
      <w:r w:rsidR="00E02DB6">
        <w:rPr>
          <w:rFonts w:ascii="Palatino Linotype" w:hAnsi="Palatino Linotype" w:cs="Arial"/>
          <w:szCs w:val="19"/>
          <w:lang w:eastAsia="es-MX"/>
        </w:rPr>
        <w:t>, por lo se debió tratar como información reservada</w:t>
      </w:r>
      <w:r w:rsidR="00F22752" w:rsidRPr="00D84768">
        <w:rPr>
          <w:rFonts w:ascii="Palatino Linotype" w:hAnsi="Palatino Linotype" w:cs="Arial"/>
          <w:szCs w:val="19"/>
          <w:lang w:eastAsia="es-MX"/>
        </w:rPr>
        <w:t>.</w:t>
      </w:r>
    </w:p>
    <w:p w14:paraId="1C886B9A" w14:textId="6F5C71D1" w:rsidR="00F564DF" w:rsidRPr="00D84768" w:rsidRDefault="00F564DF" w:rsidP="00F564DF">
      <w:pPr>
        <w:spacing w:before="240" w:after="240" w:line="360" w:lineRule="auto"/>
        <w:jc w:val="both"/>
        <w:rPr>
          <w:rFonts w:ascii="Palatino Linotype" w:hAnsi="Palatino Linotype"/>
          <w:color w:val="000000"/>
          <w:lang w:eastAsia="es-MX"/>
        </w:rPr>
      </w:pPr>
      <w:r w:rsidRPr="00D84768">
        <w:rPr>
          <w:rFonts w:ascii="Palatino Linotype" w:hAnsi="Palatino Linotype" w:cs="Arial"/>
        </w:rPr>
        <w:t xml:space="preserve">Derivado de lo anterior, cabe mencionar que no pasa por inadvertido para este Órgano Garante que el Sujeto Obligado al haber dejado a la vista datos personales que debieron de ser protegidos incumplió con lo dispuesto en la Ley de la Materia vulnerando el derecho a la protección de datos personales, por lo que </w:t>
      </w:r>
      <w:r w:rsidRPr="00D84768">
        <w:rPr>
          <w:rFonts w:ascii="Palatino Linotype" w:hAnsi="Palatino Linotype"/>
          <w:color w:val="000000"/>
          <w:lang w:eastAsia="es-MX"/>
        </w:rPr>
        <w:t>de conformidad con el artículo 190 de la Ley de Transparencia y Acceso a la Información Pública del Estado de México y Municipios, ordena se de vista al Titular de la Contraloría Interna y Órgano de Control y Vigilancia de este Instituto a fin de que en ejercicio de sus funciones determine lo conducente.</w:t>
      </w:r>
    </w:p>
    <w:p w14:paraId="2EEADBD7" w14:textId="10B97669" w:rsidR="00CD1A76" w:rsidRPr="00D84768" w:rsidRDefault="008761F1" w:rsidP="00CD1A76">
      <w:pPr>
        <w:spacing w:before="360" w:after="240" w:line="360" w:lineRule="auto"/>
        <w:jc w:val="both"/>
        <w:rPr>
          <w:rFonts w:ascii="Palatino Linotype" w:hAnsi="Palatino Linotype" w:cs="Arial"/>
          <w:lang w:val="es-ES_tradnl"/>
        </w:rPr>
      </w:pPr>
      <w:r w:rsidRPr="00D84768">
        <w:rPr>
          <w:rFonts w:ascii="Palatino Linotype" w:hAnsi="Palatino Linotype" w:cs="Arial"/>
          <w:lang w:eastAsia="es-CO"/>
        </w:rPr>
        <w:t>Por otro lado</w:t>
      </w:r>
      <w:r w:rsidR="00DC7914" w:rsidRPr="00D84768">
        <w:rPr>
          <w:rFonts w:ascii="Palatino Linotype" w:hAnsi="Palatino Linotype" w:cs="Arial"/>
          <w:lang w:eastAsia="es-CO"/>
        </w:rPr>
        <w:t xml:space="preserve">, </w:t>
      </w:r>
      <w:r w:rsidR="00551858" w:rsidRPr="00D84768">
        <w:rPr>
          <w:rFonts w:ascii="Palatino Linotype" w:hAnsi="Palatino Linotype" w:cs="Arial"/>
          <w:lang w:eastAsia="es-CO"/>
        </w:rPr>
        <w:t>se</w:t>
      </w:r>
      <w:r w:rsidRPr="00D84768">
        <w:rPr>
          <w:rFonts w:ascii="Palatino Linotype" w:hAnsi="Palatino Linotype" w:cs="Arial"/>
          <w:lang w:eastAsia="es-CO"/>
        </w:rPr>
        <w:t xml:space="preserve"> advierte que el Sujeto Obligado suprimió</w:t>
      </w:r>
      <w:r w:rsidR="00551858" w:rsidRPr="00D84768">
        <w:rPr>
          <w:rFonts w:ascii="Palatino Linotype" w:hAnsi="Palatino Linotype" w:cs="Arial"/>
          <w:lang w:eastAsia="es-CO"/>
        </w:rPr>
        <w:t xml:space="preserve"> algunos datos </w:t>
      </w:r>
      <w:r w:rsidRPr="00D84768">
        <w:rPr>
          <w:rFonts w:ascii="Palatino Linotype" w:hAnsi="Palatino Linotype" w:cs="Arial"/>
          <w:lang w:eastAsia="es-CO"/>
        </w:rPr>
        <w:t>fiscales como lo son la cadena digital CFD, sello SAT, sello digital del emisor, sello digital SAT, Código QR, número de serie del emisor, número de certificado SAT, número de serie CSD, número de cuenta y banco emisor</w:t>
      </w:r>
      <w:r w:rsidR="00DC5E11" w:rsidRPr="00D84768">
        <w:rPr>
          <w:rFonts w:ascii="Palatino Linotype" w:hAnsi="Palatino Linotype" w:cs="Arial"/>
          <w:lang w:eastAsia="es-CO"/>
        </w:rPr>
        <w:t xml:space="preserve">; de los cuales se </w:t>
      </w:r>
      <w:r w:rsidR="00CD1A76" w:rsidRPr="00D84768">
        <w:rPr>
          <w:rFonts w:ascii="Palatino Linotype" w:hAnsi="Palatino Linotype" w:cs="Arial"/>
          <w:lang w:eastAsia="es-CO"/>
        </w:rPr>
        <w:t xml:space="preserve">considera que el banco emisor, </w:t>
      </w:r>
      <w:r w:rsidR="00CD1A76" w:rsidRPr="00D84768">
        <w:rPr>
          <w:rFonts w:ascii="Palatino Linotype" w:eastAsia="Arial Unicode MS" w:hAnsi="Palatino Linotype" w:cs="Arial"/>
        </w:rPr>
        <w:t>las</w:t>
      </w:r>
      <w:r w:rsidR="00CD1A76" w:rsidRPr="00D84768">
        <w:rPr>
          <w:rFonts w:ascii="Palatino Linotype" w:hAnsi="Palatino Linotype" w:cs="Arial"/>
        </w:rPr>
        <w:t xml:space="preserve"> Cadenas Originales y Sellos Digitales del Servicio de Administración Tributaria</w:t>
      </w:r>
      <w:r w:rsidR="00CD1A76" w:rsidRPr="00D84768">
        <w:rPr>
          <w:rFonts w:ascii="Palatino Linotype" w:eastAsia="Arial Unicode MS" w:hAnsi="Palatino Linotype" w:cs="Arial"/>
        </w:rPr>
        <w:t xml:space="preserve"> que </w:t>
      </w:r>
      <w:r w:rsidR="00CD1A76" w:rsidRPr="00D84768">
        <w:rPr>
          <w:rFonts w:ascii="Palatino Linotype" w:hAnsi="Palatino Linotype" w:cs="Arial"/>
        </w:rPr>
        <w:t xml:space="preserve">forman parte del </w:t>
      </w:r>
      <w:r w:rsidR="00CD1A76" w:rsidRPr="00D84768">
        <w:rPr>
          <w:rFonts w:ascii="Palatino Linotype" w:hAnsi="Palatino Linotype" w:cs="Arial"/>
          <w:lang w:val="es-ES_tradnl"/>
        </w:rPr>
        <w:t>certificado de sello digital y que estén relacionadas con el Ayuntamiento de Toluca no debieron haberse suprimido.</w:t>
      </w:r>
    </w:p>
    <w:p w14:paraId="5E79C981" w14:textId="19EE97E6" w:rsidR="00CD1A76" w:rsidRPr="00D84768" w:rsidRDefault="00CD1A76" w:rsidP="00CD1A76">
      <w:pPr>
        <w:spacing w:before="360" w:after="240" w:line="360" w:lineRule="auto"/>
        <w:jc w:val="both"/>
        <w:rPr>
          <w:rFonts w:ascii="Palatino Linotype" w:eastAsia="Arial Unicode MS" w:hAnsi="Palatino Linotype" w:cs="Arial"/>
        </w:rPr>
      </w:pPr>
      <w:r w:rsidRPr="00D84768">
        <w:rPr>
          <w:rFonts w:ascii="Palatino Linotype" w:hAnsi="Palatino Linotype" w:cs="Arial"/>
          <w:lang w:val="es-ES_tradnl"/>
        </w:rPr>
        <w:lastRenderedPageBreak/>
        <w:t>En primer lugar porque las Cadenas originales y Sellos Digitales del SAT, es</w:t>
      </w:r>
      <w:r w:rsidRPr="00D84768">
        <w:rPr>
          <w:rFonts w:ascii="Palatino Linotype" w:hAnsi="Palatino Linotype" w:cs="Arial"/>
        </w:rPr>
        <w:t xml:space="preserve"> un documento electrónico,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las Cadenas Originales y Sellos Digitales del Servicio de Administración Tributaria, corresponden en este caso a los del Sujeto Obligado como una entidad que eroga recursos públicos para la adquisición de bienes, además de que dichos certificados tienen como finalidad o propósito específico, firmar digitalmente las facturas electrónicas para acreditar la autoría de los comprobantes fiscales digitales. Preceptos que se transcriben a continuación:</w:t>
      </w:r>
    </w:p>
    <w:p w14:paraId="01343D39"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noProof/>
          <w:sz w:val="22"/>
        </w:rPr>
        <w:t>“</w:t>
      </w:r>
      <w:r w:rsidRPr="00D84768">
        <w:rPr>
          <w:rFonts w:ascii="Palatino Linotype" w:hAnsi="Palatino Linotype" w:cs="Arial"/>
          <w:b/>
          <w:bCs/>
          <w:noProof/>
          <w:sz w:val="22"/>
        </w:rPr>
        <w:t>Artículo 17-G</w:t>
      </w:r>
      <w:r w:rsidRPr="00D84768">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4C1D61A3"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
          <w:bCs/>
          <w:i/>
          <w:noProof/>
          <w:sz w:val="22"/>
        </w:rPr>
        <w:t>I.</w:t>
      </w:r>
      <w:r w:rsidRPr="00D84768">
        <w:rPr>
          <w:rFonts w:ascii="Palatino Linotype" w:hAnsi="Palatino Linotype" w:cs="Arial"/>
          <w:bCs/>
          <w:i/>
          <w:noProof/>
          <w:sz w:val="22"/>
        </w:rPr>
        <w:tab/>
      </w:r>
      <w:r w:rsidRPr="00D84768">
        <w:rPr>
          <w:rFonts w:ascii="Palatino Linotype" w:hAnsi="Palatino Linotype" w:cs="Arial"/>
          <w:b/>
          <w:bCs/>
          <w:i/>
          <w:noProof/>
          <w:sz w:val="22"/>
        </w:rPr>
        <w:t>La mención de que se expiden como tales</w:t>
      </w:r>
      <w:r w:rsidRPr="00D84768">
        <w:rPr>
          <w:rFonts w:ascii="Palatino Linotype" w:hAnsi="Palatino Linotype" w:cs="Arial"/>
          <w:bCs/>
          <w:i/>
          <w:noProof/>
          <w:sz w:val="22"/>
        </w:rPr>
        <w:t xml:space="preserve">. </w:t>
      </w:r>
      <w:r w:rsidRPr="00D84768">
        <w:rPr>
          <w:rFonts w:ascii="Palatino Linotype" w:hAnsi="Palatino Linotype" w:cs="Arial"/>
          <w:b/>
          <w:bCs/>
          <w:i/>
          <w:noProof/>
          <w:sz w:val="22"/>
        </w:rPr>
        <w:t>Tratándose de certificados de sellos digitales, se deberán especificar las limitantes que tengan para su uso</w:t>
      </w:r>
      <w:r w:rsidRPr="00D84768">
        <w:rPr>
          <w:rFonts w:ascii="Palatino Linotype" w:hAnsi="Palatino Linotype" w:cs="Arial"/>
          <w:bCs/>
          <w:i/>
          <w:noProof/>
          <w:sz w:val="22"/>
        </w:rPr>
        <w:t>.</w:t>
      </w:r>
    </w:p>
    <w:p w14:paraId="1E379152"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
          <w:bCs/>
          <w:i/>
          <w:noProof/>
          <w:sz w:val="22"/>
        </w:rPr>
        <w:t xml:space="preserve">Artículo 29. </w:t>
      </w:r>
      <w:r w:rsidRPr="00D84768">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4CEB355"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Los contribuyentes a que se refiere el párrafo anterior deberán cumplir con las obligaciones siguientes:</w:t>
      </w:r>
    </w:p>
    <w:p w14:paraId="18C294BB"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w:t>
      </w:r>
    </w:p>
    <w:p w14:paraId="7BD07D08"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
          <w:bCs/>
          <w:i/>
          <w:noProof/>
          <w:sz w:val="22"/>
        </w:rPr>
        <w:t>II.</w:t>
      </w:r>
      <w:r w:rsidRPr="00D84768">
        <w:rPr>
          <w:rFonts w:ascii="Palatino Linotype" w:hAnsi="Palatino Linotype" w:cs="Arial"/>
          <w:bCs/>
          <w:i/>
          <w:noProof/>
          <w:sz w:val="22"/>
        </w:rPr>
        <w:tab/>
      </w:r>
      <w:r w:rsidRPr="00D84768">
        <w:rPr>
          <w:rFonts w:ascii="Palatino Linotype" w:hAnsi="Palatino Linotype" w:cs="Arial"/>
          <w:b/>
          <w:bCs/>
          <w:i/>
          <w:noProof/>
          <w:sz w:val="22"/>
        </w:rPr>
        <w:t>Tramitar ante el Servicio de Administración Tributaria el certificado para el uso de los sellos digitales</w:t>
      </w:r>
      <w:r w:rsidRPr="00D84768">
        <w:rPr>
          <w:rFonts w:ascii="Palatino Linotype" w:hAnsi="Palatino Linotype" w:cs="Arial"/>
          <w:bCs/>
          <w:i/>
          <w:noProof/>
          <w:sz w:val="22"/>
        </w:rPr>
        <w:t>.</w:t>
      </w:r>
    </w:p>
    <w:p w14:paraId="08599777"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lastRenderedPageBreak/>
        <w:t xml:space="preserve">Los contribuyentes podrán optar por el uso de uno o más certificados de sellos digitales que se utilizarán exclusivamente para la expedición de los comprobantes fiscales mediante documentos digitales. </w:t>
      </w:r>
      <w:r w:rsidRPr="00D84768">
        <w:rPr>
          <w:rFonts w:ascii="Palatino Linotype" w:hAnsi="Palatino Linotype" w:cs="Arial"/>
          <w:b/>
          <w:bCs/>
          <w:i/>
          <w:noProof/>
          <w:sz w:val="22"/>
        </w:rPr>
        <w:t>El sello digital permitirá acreditar la autoría de los comprobantes fiscales digitales</w:t>
      </w:r>
      <w:r w:rsidRPr="00D84768">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01477EF" w14:textId="77777777" w:rsidR="00CD1A76" w:rsidRPr="00D84768" w:rsidRDefault="00CD1A76" w:rsidP="00CD1A76">
      <w:pPr>
        <w:ind w:left="851" w:right="902" w:firstLine="142"/>
        <w:jc w:val="both"/>
        <w:rPr>
          <w:rFonts w:ascii="Palatino Linotype" w:hAnsi="Palatino Linotype" w:cs="Arial"/>
          <w:bCs/>
          <w:i/>
          <w:noProof/>
          <w:sz w:val="22"/>
        </w:rPr>
      </w:pPr>
      <w:r w:rsidRPr="00D84768">
        <w:rPr>
          <w:rFonts w:ascii="Palatino Linotype" w:hAnsi="Palatino Linotype" w:cs="Arial"/>
          <w:bCs/>
          <w:i/>
          <w:noProof/>
          <w:sz w:val="22"/>
        </w:rPr>
        <w:t>[…]</w:t>
      </w:r>
    </w:p>
    <w:p w14:paraId="5C4A0582"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
          <w:bCs/>
          <w:i/>
          <w:noProof/>
          <w:sz w:val="22"/>
        </w:rPr>
        <w:t>IV.</w:t>
      </w:r>
      <w:r w:rsidRPr="00D84768">
        <w:rPr>
          <w:rFonts w:ascii="Palatino Linotype" w:hAnsi="Palatino Linotype" w:cs="Arial"/>
          <w:b/>
          <w:bCs/>
          <w:i/>
          <w:noProof/>
          <w:sz w:val="22"/>
        </w:rPr>
        <w:tab/>
        <w:t>Remitir al Servicio de Administración Tributaria, antes de su expedición, el comprobante fiscal digital por Internet respectivo</w:t>
      </w:r>
      <w:r w:rsidRPr="00D84768">
        <w:rPr>
          <w:rFonts w:ascii="Palatino Linotype" w:hAnsi="Palatino Linotype" w:cs="Arial"/>
          <w:bCs/>
          <w:i/>
          <w:noProof/>
          <w:sz w:val="22"/>
        </w:rPr>
        <w:t xml:space="preserve"> a través de los mecanismos digitales que para tal efecto determine dicho órgano desconcentrado mediante reglas de carácter general, </w:t>
      </w:r>
      <w:r w:rsidRPr="00D84768">
        <w:rPr>
          <w:rFonts w:ascii="Palatino Linotype" w:hAnsi="Palatino Linotype" w:cs="Arial"/>
          <w:b/>
          <w:bCs/>
          <w:i/>
          <w:noProof/>
          <w:sz w:val="22"/>
        </w:rPr>
        <w:t>con el objeto de que éste proceda a</w:t>
      </w:r>
      <w:r w:rsidRPr="00D84768">
        <w:rPr>
          <w:rFonts w:ascii="Palatino Linotype" w:hAnsi="Palatino Linotype" w:cs="Arial"/>
          <w:bCs/>
          <w:i/>
          <w:noProof/>
          <w:sz w:val="22"/>
        </w:rPr>
        <w:t>:</w:t>
      </w:r>
    </w:p>
    <w:p w14:paraId="1EC22578"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a)</w:t>
      </w:r>
      <w:r w:rsidRPr="00D84768">
        <w:rPr>
          <w:rFonts w:ascii="Palatino Linotype" w:hAnsi="Palatino Linotype" w:cs="Arial"/>
          <w:bCs/>
          <w:i/>
          <w:noProof/>
          <w:sz w:val="22"/>
        </w:rPr>
        <w:tab/>
        <w:t>Validar el cumplimiento de los requisitos establecidos en el artículo 29-A de este Código.</w:t>
      </w:r>
    </w:p>
    <w:p w14:paraId="19242CE3"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b)</w:t>
      </w:r>
      <w:r w:rsidRPr="00D84768">
        <w:rPr>
          <w:rFonts w:ascii="Palatino Linotype" w:hAnsi="Palatino Linotype" w:cs="Arial"/>
          <w:bCs/>
          <w:i/>
          <w:noProof/>
          <w:sz w:val="22"/>
        </w:rPr>
        <w:tab/>
        <w:t>Asignar el folio del comprobante fiscal digital.</w:t>
      </w:r>
    </w:p>
    <w:p w14:paraId="1BDAAE19"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
          <w:bCs/>
          <w:i/>
          <w:noProof/>
          <w:sz w:val="22"/>
        </w:rPr>
        <w:t>c)</w:t>
      </w:r>
      <w:r w:rsidRPr="00D84768">
        <w:rPr>
          <w:rFonts w:ascii="Palatino Linotype" w:hAnsi="Palatino Linotype" w:cs="Arial"/>
          <w:b/>
          <w:bCs/>
          <w:i/>
          <w:noProof/>
          <w:sz w:val="22"/>
        </w:rPr>
        <w:tab/>
        <w:t>Incorporar el sello digital del Servicio de Administración Tributaria</w:t>
      </w:r>
      <w:r w:rsidRPr="00D84768">
        <w:rPr>
          <w:rFonts w:ascii="Palatino Linotype" w:hAnsi="Palatino Linotype" w:cs="Arial"/>
          <w:bCs/>
          <w:i/>
          <w:noProof/>
          <w:sz w:val="22"/>
        </w:rPr>
        <w:t>.</w:t>
      </w:r>
    </w:p>
    <w:p w14:paraId="2F55C050"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El Servicio de Administración Tributaria podrá autorizar a proveedores de certificación de comprobantes fiscales digitales por Internet para que efectúen la validación, asignación de folio e incorporación del sello a que se refiere esta fracción.</w:t>
      </w:r>
    </w:p>
    <w:p w14:paraId="07BF7EA1"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5869977D"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65E58EAB"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329F246B" w14:textId="77777777" w:rsidR="00CD1A76" w:rsidRPr="00D84768" w:rsidRDefault="00CD1A76" w:rsidP="00CD1A76">
      <w:pPr>
        <w:ind w:left="851" w:right="902" w:firstLine="142"/>
        <w:jc w:val="both"/>
        <w:rPr>
          <w:rFonts w:ascii="Palatino Linotype" w:hAnsi="Palatino Linotype" w:cs="Arial"/>
          <w:bCs/>
          <w:i/>
          <w:noProof/>
          <w:sz w:val="22"/>
        </w:rPr>
      </w:pPr>
      <w:r w:rsidRPr="00D84768">
        <w:rPr>
          <w:rFonts w:ascii="Palatino Linotype" w:hAnsi="Palatino Linotype" w:cs="Arial"/>
          <w:b/>
          <w:bCs/>
          <w:i/>
          <w:noProof/>
          <w:sz w:val="22"/>
        </w:rPr>
        <w:t>Artículo 31</w:t>
      </w:r>
      <w:r w:rsidRPr="00D84768">
        <w:rPr>
          <w:rFonts w:ascii="Palatino Linotype" w:hAnsi="Palatino Linotype" w:cs="Arial"/>
          <w:bCs/>
          <w:i/>
          <w:noProof/>
          <w:sz w:val="22"/>
        </w:rPr>
        <w:t>. […]</w:t>
      </w:r>
    </w:p>
    <w:p w14:paraId="1E44DEBC" w14:textId="77777777" w:rsidR="00CD1A76" w:rsidRPr="00D84768" w:rsidRDefault="00CD1A76" w:rsidP="00CD1A76">
      <w:pPr>
        <w:ind w:left="851" w:right="902"/>
        <w:jc w:val="both"/>
        <w:rPr>
          <w:rFonts w:ascii="Palatino Linotype" w:hAnsi="Palatino Linotype" w:cs="Arial"/>
          <w:bCs/>
          <w:i/>
          <w:noProof/>
          <w:sz w:val="22"/>
        </w:rPr>
      </w:pPr>
      <w:r w:rsidRPr="00D84768">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53219F2C" w14:textId="77777777" w:rsidR="00CD1A76" w:rsidRPr="00D84768" w:rsidRDefault="00CD1A76" w:rsidP="00CD1A76">
      <w:pPr>
        <w:ind w:left="851" w:right="902"/>
        <w:jc w:val="both"/>
        <w:rPr>
          <w:rFonts w:ascii="Palatino Linotype" w:hAnsi="Palatino Linotype" w:cs="Arial"/>
          <w:sz w:val="22"/>
          <w:szCs w:val="22"/>
          <w:lang w:eastAsia="es-MX"/>
        </w:rPr>
      </w:pPr>
      <w:r w:rsidRPr="00D84768">
        <w:rPr>
          <w:rFonts w:ascii="Palatino Linotype" w:hAnsi="Palatino Linotype" w:cs="Arial"/>
          <w:sz w:val="22"/>
          <w:szCs w:val="22"/>
          <w:lang w:eastAsia="es-MX"/>
        </w:rPr>
        <w:t>(Énfasis añadido)</w:t>
      </w:r>
    </w:p>
    <w:p w14:paraId="4BE442C2" w14:textId="011CD5BE" w:rsidR="00CD1A76" w:rsidRPr="00D84768" w:rsidRDefault="00CD1A76" w:rsidP="00CD1A76">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84768">
        <w:rPr>
          <w:rFonts w:ascii="Palatino Linotype" w:hAnsi="Palatino Linotype" w:cs="Arial"/>
        </w:rPr>
        <w:lastRenderedPageBreak/>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dichos datos</w:t>
      </w:r>
      <w:r w:rsidR="00452559" w:rsidRPr="00D84768">
        <w:rPr>
          <w:rFonts w:ascii="Palatino Linotype" w:hAnsi="Palatino Linotype" w:cs="Arial"/>
        </w:rPr>
        <w:t xml:space="preserve"> al corresponder</w:t>
      </w:r>
      <w:r w:rsidRPr="00D84768">
        <w:rPr>
          <w:rFonts w:ascii="Palatino Linotype" w:hAnsi="Palatino Linotype" w:cs="Arial"/>
        </w:rPr>
        <w:t xml:space="preserve"> al </w:t>
      </w:r>
      <w:r w:rsidR="00452559" w:rsidRPr="00D84768">
        <w:rPr>
          <w:rFonts w:ascii="Palatino Linotype" w:hAnsi="Palatino Linotype" w:cs="Arial"/>
        </w:rPr>
        <w:t>Ayuntamiento de Toluca</w:t>
      </w:r>
      <w:r w:rsidR="00452559" w:rsidRPr="00D84768">
        <w:rPr>
          <w:rFonts w:ascii="Palatino Linotype" w:hAnsi="Palatino Linotype" w:cs="Arial"/>
          <w:b/>
        </w:rPr>
        <w:t xml:space="preserve">, </w:t>
      </w:r>
      <w:r w:rsidR="00452559" w:rsidRPr="00D84768">
        <w:rPr>
          <w:rFonts w:ascii="Palatino Linotype" w:hAnsi="Palatino Linotype" w:cs="Arial"/>
        </w:rPr>
        <w:t>a q</w:t>
      </w:r>
      <w:r w:rsidRPr="00D84768">
        <w:rPr>
          <w:rFonts w:ascii="Palatino Linotype" w:hAnsi="Palatino Linotype" w:cs="Arial"/>
        </w:rPr>
        <w:t>uien, a través de la emisión de dichos comprobantes,</w:t>
      </w:r>
      <w:r w:rsidR="00452559" w:rsidRPr="00D84768">
        <w:rPr>
          <w:rFonts w:ascii="Palatino Linotype" w:hAnsi="Palatino Linotype" w:cs="Arial"/>
        </w:rPr>
        <w:t xml:space="preserve"> se le </w:t>
      </w:r>
      <w:r w:rsidRPr="00D84768">
        <w:rPr>
          <w:rFonts w:ascii="Palatino Linotype" w:hAnsi="Palatino Linotype" w:cs="Arial"/>
        </w:rPr>
        <w:t xml:space="preserve">justifica </w:t>
      </w:r>
      <w:r w:rsidR="00452559" w:rsidRPr="00D84768">
        <w:rPr>
          <w:rFonts w:ascii="Palatino Linotype" w:hAnsi="Palatino Linotype" w:cs="Arial"/>
        </w:rPr>
        <w:t xml:space="preserve">la erogación de recursos del </w:t>
      </w:r>
      <w:r w:rsidRPr="00D84768">
        <w:rPr>
          <w:rFonts w:ascii="Palatino Linotype" w:hAnsi="Palatino Linotype" w:cs="Arial"/>
        </w:rPr>
        <w:t xml:space="preserve">erario público, </w:t>
      </w:r>
      <w:r w:rsidR="00452559" w:rsidRPr="00D84768">
        <w:rPr>
          <w:rFonts w:ascii="Palatino Linotype" w:hAnsi="Palatino Linotype" w:cs="Arial"/>
        </w:rPr>
        <w:t xml:space="preserve">por lo que cabe resaltar </w:t>
      </w:r>
      <w:r w:rsidRPr="00D84768">
        <w:rPr>
          <w:rFonts w:ascii="Palatino Linotype" w:hAnsi="Palatino Linotype" w:cs="Arial"/>
        </w:rPr>
        <w:t xml:space="preserve"> lo siguiente:</w:t>
      </w:r>
    </w:p>
    <w:p w14:paraId="0EE1FC46" w14:textId="77777777" w:rsidR="00CD1A76" w:rsidRPr="00D84768" w:rsidRDefault="00CD1A76" w:rsidP="00CD1A76">
      <w:pPr>
        <w:ind w:left="709" w:right="709"/>
        <w:jc w:val="center"/>
        <w:rPr>
          <w:rFonts w:ascii="Palatino Linotype" w:hAnsi="Palatino Linotype" w:cs="Arial"/>
          <w:b/>
          <w:bCs/>
          <w:i/>
          <w:noProof/>
          <w:sz w:val="22"/>
          <w:szCs w:val="22"/>
        </w:rPr>
      </w:pPr>
      <w:r w:rsidRPr="00D84768">
        <w:rPr>
          <w:rFonts w:ascii="Palatino Linotype" w:hAnsi="Palatino Linotype" w:cs="Arial"/>
          <w:b/>
          <w:bCs/>
          <w:i/>
          <w:noProof/>
          <w:sz w:val="22"/>
          <w:szCs w:val="22"/>
        </w:rPr>
        <w:t>Código Fiscal de la Federación</w:t>
      </w:r>
    </w:p>
    <w:p w14:paraId="0E97BD35"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r w:rsidRPr="00D84768">
        <w:rPr>
          <w:rFonts w:ascii="Palatino Linotype" w:hAnsi="Palatino Linotype" w:cs="Arial"/>
          <w:b/>
          <w:bCs/>
          <w:i/>
          <w:noProof/>
          <w:sz w:val="22"/>
          <w:szCs w:val="22"/>
        </w:rPr>
        <w:t xml:space="preserve">Artículo 33.- </w:t>
      </w:r>
      <w:r w:rsidRPr="00D84768">
        <w:rPr>
          <w:rFonts w:ascii="Palatino Linotype" w:hAnsi="Palatino Linotype" w:cs="Arial"/>
          <w:bCs/>
          <w:i/>
          <w:noProof/>
          <w:sz w:val="22"/>
          <w:szCs w:val="22"/>
        </w:rPr>
        <w:t>Las autoridades fiscales para el mejor cumplimiento de sus facultades, estarán a lo siguiente:</w:t>
      </w:r>
    </w:p>
    <w:p w14:paraId="6E42616F"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I.- Proporcionarán asistencia gratuita a los contribuyentes y para ello procurarán:</w:t>
      </w:r>
    </w:p>
    <w:p w14:paraId="03A0CE99"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4B226D04"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
          <w:bCs/>
          <w:i/>
          <w:noProof/>
          <w:sz w:val="22"/>
          <w:szCs w:val="22"/>
        </w:rPr>
        <w:t>g)</w:t>
      </w:r>
      <w:r w:rsidRPr="00D84768">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D84768">
        <w:rPr>
          <w:rFonts w:ascii="Palatino Linotype" w:hAnsi="Palatino Linotype" w:cs="Arial"/>
          <w:bCs/>
          <w:i/>
          <w:noProof/>
          <w:sz w:val="22"/>
          <w:szCs w:val="22"/>
        </w:rPr>
        <w:t xml:space="preserve">; </w:t>
      </w:r>
      <w:r w:rsidRPr="00D84768">
        <w:rPr>
          <w:rFonts w:ascii="Palatino Linotype" w:hAnsi="Palatino Linotype" w:cs="Arial"/>
          <w:b/>
          <w:bCs/>
          <w:i/>
          <w:noProof/>
          <w:sz w:val="22"/>
          <w:szCs w:val="22"/>
        </w:rPr>
        <w:t>se podrán publicar aisladamente aquellas disposiciones cuyos efectos se limitan a periodos inferiores a un año</w:t>
      </w:r>
      <w:r w:rsidRPr="00D84768">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02BD1D74" w14:textId="77777777" w:rsidR="00CD1A76" w:rsidRPr="00D84768" w:rsidRDefault="00CD1A76" w:rsidP="00CD1A76">
      <w:pPr>
        <w:ind w:left="851" w:right="899"/>
        <w:jc w:val="center"/>
        <w:rPr>
          <w:rFonts w:ascii="Palatino Linotype" w:hAnsi="Palatino Linotype" w:cs="Arial"/>
          <w:b/>
          <w:bCs/>
          <w:i/>
          <w:noProof/>
          <w:sz w:val="22"/>
          <w:szCs w:val="22"/>
        </w:rPr>
      </w:pPr>
    </w:p>
    <w:p w14:paraId="2C1FAD4E" w14:textId="77777777" w:rsidR="00CD1A76" w:rsidRPr="00D84768" w:rsidRDefault="00CD1A76" w:rsidP="00CD1A76">
      <w:pPr>
        <w:ind w:left="851" w:right="899"/>
        <w:jc w:val="center"/>
        <w:rPr>
          <w:rFonts w:ascii="Palatino Linotype" w:hAnsi="Palatino Linotype" w:cs="Arial"/>
          <w:b/>
          <w:bCs/>
          <w:i/>
          <w:noProof/>
          <w:sz w:val="22"/>
          <w:szCs w:val="22"/>
        </w:rPr>
      </w:pPr>
      <w:r w:rsidRPr="00D84768">
        <w:rPr>
          <w:rFonts w:ascii="Palatino Linotype" w:hAnsi="Palatino Linotype" w:cs="Arial"/>
          <w:b/>
          <w:bCs/>
          <w:i/>
          <w:noProof/>
          <w:sz w:val="22"/>
          <w:szCs w:val="22"/>
        </w:rPr>
        <w:t>Resolución Miscelánea Fiscal 2018</w:t>
      </w:r>
    </w:p>
    <w:p w14:paraId="56484BB9" w14:textId="77777777" w:rsidR="00CD1A76" w:rsidRPr="00D84768" w:rsidRDefault="00CD1A76" w:rsidP="00CD1A76">
      <w:pPr>
        <w:ind w:left="851" w:right="899"/>
        <w:jc w:val="both"/>
        <w:rPr>
          <w:rFonts w:ascii="Palatino Linotype" w:hAnsi="Palatino Linotype" w:cs="Arial"/>
          <w:bCs/>
          <w:i/>
          <w:noProof/>
          <w:sz w:val="22"/>
          <w:szCs w:val="22"/>
        </w:rPr>
      </w:pPr>
    </w:p>
    <w:p w14:paraId="2E8DE681"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Cs/>
          <w:i/>
          <w:noProof/>
          <w:sz w:val="22"/>
          <w:szCs w:val="22"/>
        </w:rPr>
        <w:lastRenderedPageBreak/>
        <w:t>“</w:t>
      </w:r>
      <w:r w:rsidRPr="00D84768">
        <w:rPr>
          <w:rFonts w:ascii="Palatino Linotype" w:hAnsi="Palatino Linotype" w:cs="Arial"/>
          <w:b/>
          <w:bCs/>
          <w:i/>
          <w:noProof/>
          <w:sz w:val="22"/>
          <w:szCs w:val="22"/>
        </w:rPr>
        <w:t>Generación del CFDI</w:t>
      </w:r>
    </w:p>
    <w:p w14:paraId="14D0A4BA" w14:textId="77777777" w:rsidR="00CD1A76" w:rsidRPr="00D84768" w:rsidRDefault="00CD1A76" w:rsidP="00CD1A76">
      <w:pPr>
        <w:ind w:left="851" w:right="899"/>
        <w:jc w:val="both"/>
        <w:rPr>
          <w:rFonts w:ascii="Palatino Linotype" w:hAnsi="Palatino Linotype" w:cs="Arial"/>
          <w:b/>
          <w:bCs/>
          <w:i/>
          <w:noProof/>
          <w:sz w:val="22"/>
          <w:szCs w:val="22"/>
        </w:rPr>
      </w:pPr>
    </w:p>
    <w:p w14:paraId="234C4073"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
          <w:bCs/>
          <w:i/>
          <w:noProof/>
          <w:sz w:val="22"/>
          <w:szCs w:val="22"/>
        </w:rPr>
        <w:t>2.7.1.2.</w:t>
      </w:r>
      <w:r w:rsidRPr="00D84768">
        <w:rPr>
          <w:rFonts w:ascii="Palatino Linotype" w:hAnsi="Palatino Linotype" w:cs="Arial"/>
          <w:b/>
          <w:bCs/>
          <w:i/>
          <w:noProof/>
          <w:sz w:val="22"/>
          <w:szCs w:val="22"/>
        </w:rPr>
        <w:tab/>
        <w:t>Para los efectos del artículo 29, primer y segundo párrafos del CFF, los CFDI que generen los contribuyentes</w:t>
      </w:r>
      <w:r w:rsidRPr="00D84768">
        <w:rPr>
          <w:rFonts w:ascii="Palatino Linotype" w:hAnsi="Palatino Linotype" w:cs="Arial"/>
          <w:bCs/>
          <w:i/>
          <w:noProof/>
          <w:sz w:val="22"/>
          <w:szCs w:val="22"/>
        </w:rPr>
        <w:t xml:space="preserve"> y que posteriormente envíen a un proveedor de certificación de CFDI, </w:t>
      </w:r>
      <w:r w:rsidRPr="00D84768">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D84768">
        <w:rPr>
          <w:rFonts w:ascii="Palatino Linotype" w:hAnsi="Palatino Linotype" w:cs="Arial"/>
          <w:bCs/>
          <w:i/>
          <w:noProof/>
          <w:sz w:val="22"/>
          <w:szCs w:val="22"/>
        </w:rPr>
        <w:t xml:space="preserve"> I.A “Estándar de comprobante fiscal digital por Internet” y </w:t>
      </w:r>
      <w:r w:rsidRPr="00D84768">
        <w:rPr>
          <w:rFonts w:ascii="Palatino Linotype" w:hAnsi="Palatino Linotype" w:cs="Arial"/>
          <w:b/>
          <w:bCs/>
          <w:i/>
          <w:noProof/>
          <w:sz w:val="22"/>
          <w:szCs w:val="22"/>
        </w:rPr>
        <w:t>I.B “Generación de sellos digitales para comprobantes fiscales digitales por Internet” del Anexo 20</w:t>
      </w:r>
      <w:r w:rsidRPr="00D84768">
        <w:rPr>
          <w:rFonts w:ascii="Palatino Linotype" w:hAnsi="Palatino Linotype" w:cs="Arial"/>
          <w:bCs/>
          <w:i/>
          <w:noProof/>
          <w:sz w:val="22"/>
          <w:szCs w:val="22"/>
        </w:rPr>
        <w:t>. …”</w:t>
      </w:r>
    </w:p>
    <w:p w14:paraId="3F513D31" w14:textId="77777777" w:rsidR="00CD1A76" w:rsidRPr="00D84768" w:rsidRDefault="00CD1A76" w:rsidP="00CD1A76">
      <w:pPr>
        <w:ind w:left="851" w:right="899"/>
        <w:jc w:val="center"/>
        <w:rPr>
          <w:rFonts w:ascii="Palatino Linotype" w:hAnsi="Palatino Linotype" w:cs="Arial"/>
          <w:b/>
          <w:bCs/>
          <w:i/>
          <w:noProof/>
          <w:sz w:val="22"/>
          <w:szCs w:val="22"/>
        </w:rPr>
      </w:pPr>
    </w:p>
    <w:p w14:paraId="2AA54A3B" w14:textId="77777777" w:rsidR="00CD1A76" w:rsidRPr="00D84768" w:rsidRDefault="00CD1A76" w:rsidP="00CD1A76">
      <w:pPr>
        <w:ind w:left="851" w:right="899"/>
        <w:jc w:val="center"/>
        <w:rPr>
          <w:rFonts w:ascii="Palatino Linotype" w:hAnsi="Palatino Linotype" w:cs="Arial"/>
          <w:b/>
          <w:bCs/>
          <w:i/>
          <w:noProof/>
          <w:sz w:val="22"/>
          <w:szCs w:val="22"/>
        </w:rPr>
      </w:pPr>
      <w:r w:rsidRPr="00D84768">
        <w:rPr>
          <w:rFonts w:ascii="Palatino Linotype" w:hAnsi="Palatino Linotype" w:cs="Arial"/>
          <w:b/>
          <w:bCs/>
          <w:i/>
          <w:noProof/>
          <w:sz w:val="22"/>
          <w:szCs w:val="22"/>
        </w:rPr>
        <w:t>Anexo 20 de la Segunda Resolución de modificaciones a la Resolución Miscelánea Fiscal para 2017</w:t>
      </w:r>
    </w:p>
    <w:p w14:paraId="221D9393" w14:textId="77777777" w:rsidR="00CD1A76" w:rsidRPr="00D84768" w:rsidRDefault="00CD1A76" w:rsidP="00CD1A76">
      <w:pPr>
        <w:ind w:left="851" w:right="899"/>
        <w:jc w:val="center"/>
        <w:rPr>
          <w:rFonts w:ascii="Palatino Linotype" w:hAnsi="Palatino Linotype" w:cs="Arial"/>
          <w:b/>
          <w:bCs/>
          <w:i/>
          <w:noProof/>
          <w:sz w:val="22"/>
          <w:szCs w:val="22"/>
        </w:rPr>
      </w:pPr>
    </w:p>
    <w:p w14:paraId="63B33595"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I. Del Comprobante fiscal digital por Internet:</w:t>
      </w:r>
    </w:p>
    <w:p w14:paraId="6D1B8465"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53B30CC7"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B. Generación de sellos digitales para comprobantes fiscales digitales por Internet.</w:t>
      </w:r>
    </w:p>
    <w:p w14:paraId="16FE1253"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Elementos utilizados en la generación de Sellos Digitales:</w:t>
      </w:r>
    </w:p>
    <w:p w14:paraId="2C11C070" w14:textId="77777777" w:rsidR="00CD1A76" w:rsidRPr="00D84768" w:rsidRDefault="00CD1A76" w:rsidP="00CD1A76">
      <w:pPr>
        <w:pStyle w:val="Prrafodelista"/>
        <w:numPr>
          <w:ilvl w:val="0"/>
          <w:numId w:val="24"/>
        </w:numPr>
        <w:ind w:left="851" w:right="899" w:firstLine="0"/>
        <w:jc w:val="both"/>
        <w:rPr>
          <w:rFonts w:ascii="Palatino Linotype" w:hAnsi="Palatino Linotype" w:cs="Arial"/>
          <w:bCs/>
          <w:i/>
          <w:noProof/>
          <w:sz w:val="22"/>
          <w:szCs w:val="22"/>
        </w:rPr>
      </w:pPr>
      <w:r w:rsidRPr="00D84768">
        <w:rPr>
          <w:rFonts w:ascii="Palatino Linotype" w:hAnsi="Palatino Linotype" w:cs="Arial"/>
          <w:b/>
          <w:bCs/>
          <w:i/>
          <w:noProof/>
          <w:sz w:val="22"/>
          <w:szCs w:val="22"/>
        </w:rPr>
        <w:t xml:space="preserve">Cadena Original </w:t>
      </w:r>
      <w:r w:rsidRPr="00D84768">
        <w:rPr>
          <w:rFonts w:ascii="Palatino Linotype" w:hAnsi="Palatino Linotype" w:cs="Arial"/>
          <w:bCs/>
          <w:i/>
          <w:noProof/>
          <w:sz w:val="22"/>
          <w:szCs w:val="22"/>
        </w:rPr>
        <w:t>del elemento a sellar.</w:t>
      </w:r>
    </w:p>
    <w:p w14:paraId="40104AB3" w14:textId="77777777" w:rsidR="00CD1A76" w:rsidRPr="00D84768" w:rsidRDefault="00CD1A76" w:rsidP="00CD1A76">
      <w:pPr>
        <w:pStyle w:val="Prrafodelista"/>
        <w:numPr>
          <w:ilvl w:val="0"/>
          <w:numId w:val="24"/>
        </w:numPr>
        <w:ind w:left="851" w:right="899" w:firstLine="0"/>
        <w:jc w:val="both"/>
        <w:rPr>
          <w:rFonts w:ascii="Palatino Linotype" w:hAnsi="Palatino Linotype" w:cs="Arial"/>
          <w:b/>
          <w:bCs/>
          <w:i/>
          <w:noProof/>
          <w:sz w:val="22"/>
          <w:szCs w:val="22"/>
        </w:rPr>
      </w:pPr>
      <w:r w:rsidRPr="00D84768">
        <w:rPr>
          <w:rFonts w:ascii="Palatino Linotype" w:hAnsi="Palatino Linotype" w:cs="Arial"/>
          <w:b/>
          <w:bCs/>
          <w:i/>
          <w:noProof/>
          <w:sz w:val="22"/>
          <w:szCs w:val="22"/>
        </w:rPr>
        <w:t xml:space="preserve">Certificado de Sello Digital </w:t>
      </w:r>
      <w:r w:rsidRPr="00D84768">
        <w:rPr>
          <w:rFonts w:ascii="Palatino Linotype" w:hAnsi="Palatino Linotype" w:cs="Arial"/>
          <w:bCs/>
          <w:i/>
          <w:noProof/>
          <w:sz w:val="22"/>
          <w:szCs w:val="22"/>
        </w:rPr>
        <w:t>y su correspondiente clave privada</w:t>
      </w:r>
      <w:r w:rsidRPr="00D84768">
        <w:rPr>
          <w:rFonts w:ascii="Palatino Linotype" w:hAnsi="Palatino Linotype" w:cs="Arial"/>
          <w:b/>
          <w:bCs/>
          <w:i/>
          <w:noProof/>
          <w:sz w:val="22"/>
          <w:szCs w:val="22"/>
        </w:rPr>
        <w:t>.</w:t>
      </w:r>
    </w:p>
    <w:p w14:paraId="4C0E8FD7" w14:textId="77777777" w:rsidR="00CD1A76" w:rsidRPr="00D84768" w:rsidRDefault="00CD1A76" w:rsidP="00CD1A76">
      <w:pPr>
        <w:pStyle w:val="Prrafodelista"/>
        <w:numPr>
          <w:ilvl w:val="0"/>
          <w:numId w:val="24"/>
        </w:numPr>
        <w:ind w:left="851" w:right="899" w:firstLine="0"/>
        <w:jc w:val="both"/>
        <w:rPr>
          <w:rFonts w:ascii="Palatino Linotype" w:hAnsi="Palatino Linotype" w:cs="Arial"/>
          <w:bCs/>
          <w:i/>
          <w:noProof/>
          <w:sz w:val="22"/>
          <w:szCs w:val="22"/>
        </w:rPr>
      </w:pPr>
      <w:r w:rsidRPr="00D84768">
        <w:rPr>
          <w:rFonts w:ascii="Palatino Linotype" w:hAnsi="Palatino Linotype" w:cs="Arial"/>
          <w:bCs/>
          <w:i/>
          <w:noProof/>
          <w:sz w:val="22"/>
          <w:szCs w:val="22"/>
        </w:rPr>
        <w:t>Algoritmos de criptografía de clave pública para firma electrónica avanzada.</w:t>
      </w:r>
    </w:p>
    <w:p w14:paraId="65B10AA3" w14:textId="77777777" w:rsidR="00CD1A76" w:rsidRPr="00D84768" w:rsidRDefault="00CD1A76" w:rsidP="00CD1A76">
      <w:pPr>
        <w:pStyle w:val="Prrafodelista"/>
        <w:numPr>
          <w:ilvl w:val="0"/>
          <w:numId w:val="24"/>
        </w:numPr>
        <w:ind w:left="851" w:right="899" w:firstLine="0"/>
        <w:jc w:val="both"/>
        <w:rPr>
          <w:rFonts w:ascii="Palatino Linotype" w:hAnsi="Palatino Linotype" w:cs="Arial"/>
          <w:bCs/>
          <w:i/>
          <w:noProof/>
          <w:sz w:val="22"/>
          <w:szCs w:val="22"/>
        </w:rPr>
      </w:pPr>
      <w:r w:rsidRPr="00D84768">
        <w:rPr>
          <w:rFonts w:ascii="Palatino Linotype" w:hAnsi="Palatino Linotype" w:cs="Arial"/>
          <w:bCs/>
          <w:i/>
          <w:noProof/>
          <w:sz w:val="22"/>
          <w:szCs w:val="22"/>
        </w:rPr>
        <w:t>Especificaciones de conversión de la firma electrónica avanzada a Base 64.</w:t>
      </w:r>
    </w:p>
    <w:p w14:paraId="53F1FFC2"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05ED8893"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Cadena Original</w:t>
      </w:r>
    </w:p>
    <w:p w14:paraId="049D33BE" w14:textId="77777777" w:rsidR="00CD1A76" w:rsidRPr="00D84768" w:rsidRDefault="00CD1A76" w:rsidP="00CD1A76">
      <w:pPr>
        <w:ind w:left="851" w:right="899"/>
        <w:jc w:val="both"/>
        <w:rPr>
          <w:rFonts w:ascii="Palatino Linotype" w:hAnsi="Palatino Linotype" w:cs="Arial"/>
          <w:b/>
          <w:bCs/>
          <w:i/>
          <w:noProof/>
          <w:sz w:val="22"/>
          <w:szCs w:val="22"/>
        </w:rPr>
      </w:pPr>
    </w:p>
    <w:p w14:paraId="1DD6A650"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4EB71DEF" w14:textId="77777777" w:rsidR="00CD1A76" w:rsidRPr="00D84768" w:rsidRDefault="00CD1A76" w:rsidP="00CD1A76">
      <w:pPr>
        <w:ind w:left="851" w:right="899"/>
        <w:jc w:val="both"/>
        <w:rPr>
          <w:rFonts w:ascii="Palatino Linotype" w:hAnsi="Palatino Linotype" w:cs="Arial"/>
          <w:b/>
          <w:bCs/>
          <w:i/>
          <w:noProof/>
          <w:sz w:val="22"/>
          <w:szCs w:val="22"/>
        </w:rPr>
      </w:pPr>
    </w:p>
    <w:p w14:paraId="62042F9E"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Reglas Generales:</w:t>
      </w:r>
    </w:p>
    <w:p w14:paraId="55A3996A"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00414942"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2. El inicio de la cadena original se encuentra marcado mediante una secuencia de caracteres || (doble pleca).</w:t>
      </w:r>
    </w:p>
    <w:p w14:paraId="63A422F8"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lastRenderedPageBreak/>
        <w:t>3. Se expresa únicamente la información del dato sin expresar el atributo al que hace referencia. Esto es, si el valor de un campo es "A" y el nombre del campo es "Concepto", sólo se expresa |A| y nunca |Concepto A|.</w:t>
      </w:r>
    </w:p>
    <w:p w14:paraId="2ADE7490"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4. Cada dato individual se debe separar de su dato subsiguiente, en caso de existir, mediante un carácter | (pleca sencilla).</w:t>
      </w:r>
    </w:p>
    <w:p w14:paraId="332A92D4"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5. Los espacios en blanco que se presenten dentro de la cadena original son tratados de la siguiente manera:</w:t>
      </w:r>
    </w:p>
    <w:p w14:paraId="034F92AE"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a. Se deben reemplazar todos los tabuladores, retornos de carro y saltos de línea por el carácter espacio (ASCII 32).</w:t>
      </w:r>
    </w:p>
    <w:p w14:paraId="1EBAD183"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b. Acto seguido se elimina cualquier espacio al principio y al final de cada separador | (pleca).</w:t>
      </w:r>
    </w:p>
    <w:p w14:paraId="00046031"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c. Finalmente, toda secuencia de caracteres en blanco se sustituye por un único carácter espacio (ASCII 32).</w:t>
      </w:r>
    </w:p>
    <w:p w14:paraId="42EAFADD"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6. Los datos opcionales no expresados, no aparecen en la cadena original y no tienen delimitador alguno.</w:t>
      </w:r>
    </w:p>
    <w:p w14:paraId="4BA6B991"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7. El final de la cadena original se expresa mediante una cadena de caracteres || (doble pleca).</w:t>
      </w:r>
    </w:p>
    <w:p w14:paraId="5629C9BD"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8. Toda la cadena original se expresa en el formato de codificación UTF-8.</w:t>
      </w:r>
    </w:p>
    <w:p w14:paraId="1C2D3E3D"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0EB97731"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7C1E3BC9"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14:paraId="2EE87592"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26F33D14"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Generación del Sello Digital</w:t>
      </w:r>
    </w:p>
    <w:p w14:paraId="5C7AF657" w14:textId="77777777" w:rsidR="00CD1A76" w:rsidRPr="00D84768" w:rsidRDefault="00CD1A76" w:rsidP="00CD1A76">
      <w:pPr>
        <w:ind w:left="851" w:right="899"/>
        <w:jc w:val="both"/>
        <w:rPr>
          <w:rFonts w:ascii="Palatino Linotype" w:hAnsi="Palatino Linotype" w:cs="Arial"/>
          <w:b/>
          <w:bCs/>
          <w:i/>
          <w:noProof/>
          <w:sz w:val="22"/>
          <w:szCs w:val="22"/>
        </w:rPr>
      </w:pPr>
    </w:p>
    <w:p w14:paraId="74494BC8"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
          <w:bCs/>
          <w:i/>
          <w:noProof/>
          <w:sz w:val="22"/>
          <w:szCs w:val="22"/>
        </w:rPr>
        <w:t>Para toda cadena original a ser sellada digitalmente, la secuencia de algoritmos a aplicar es la siguiente</w:t>
      </w:r>
      <w:r w:rsidRPr="00D84768">
        <w:rPr>
          <w:rFonts w:ascii="Palatino Linotype" w:hAnsi="Palatino Linotype" w:cs="Arial"/>
          <w:bCs/>
          <w:i/>
          <w:noProof/>
          <w:sz w:val="22"/>
          <w:szCs w:val="22"/>
        </w:rPr>
        <w:t>:</w:t>
      </w:r>
    </w:p>
    <w:p w14:paraId="3AED323D"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38AD2E4B"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E. Secuencia de formación para generar la cadena original para comprobantes fiscales digitalespor Internet</w:t>
      </w:r>
    </w:p>
    <w:p w14:paraId="66D5CECE" w14:textId="77777777" w:rsidR="00CD1A76" w:rsidRPr="00D84768" w:rsidRDefault="00CD1A76" w:rsidP="00CD1A76">
      <w:pPr>
        <w:ind w:left="851" w:right="899"/>
        <w:jc w:val="both"/>
        <w:rPr>
          <w:rFonts w:ascii="Palatino Linotype" w:hAnsi="Palatino Linotype" w:cs="Arial"/>
          <w:b/>
          <w:bCs/>
          <w:i/>
          <w:noProof/>
          <w:sz w:val="22"/>
          <w:szCs w:val="22"/>
        </w:rPr>
      </w:pPr>
    </w:p>
    <w:p w14:paraId="336BB3B1"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Secuencia de Formación:</w:t>
      </w:r>
    </w:p>
    <w:p w14:paraId="45D954A2"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
          <w:bCs/>
          <w:i/>
          <w:noProof/>
          <w:sz w:val="22"/>
          <w:szCs w:val="22"/>
        </w:rPr>
        <w:lastRenderedPageBreak/>
        <w:t>La secuencia de formación siempre se registra en el orden que se expresa a continuación</w:t>
      </w:r>
      <w:r w:rsidRPr="00D84768">
        <w:rPr>
          <w:rFonts w:ascii="Palatino Linotype" w:hAnsi="Palatino Linotype" w:cs="Arial"/>
          <w:bCs/>
          <w:i/>
          <w:noProof/>
          <w:sz w:val="22"/>
          <w:szCs w:val="22"/>
        </w:rPr>
        <w:t>,</w:t>
      </w:r>
    </w:p>
    <w:p w14:paraId="3D90A1B2"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w:t>
      </w:r>
    </w:p>
    <w:p w14:paraId="7097F125"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 xml:space="preserve">3. </w:t>
      </w:r>
      <w:r w:rsidRPr="00D84768">
        <w:rPr>
          <w:rFonts w:ascii="Palatino Linotype" w:hAnsi="Palatino Linotype" w:cs="Arial"/>
          <w:b/>
          <w:bCs/>
          <w:i/>
          <w:noProof/>
          <w:sz w:val="22"/>
          <w:szCs w:val="22"/>
        </w:rPr>
        <w:t>Información del nodo Emisor</w:t>
      </w:r>
    </w:p>
    <w:p w14:paraId="100AFD39"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a. Rfc</w:t>
      </w:r>
    </w:p>
    <w:p w14:paraId="10A13306"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b. Nombre</w:t>
      </w:r>
    </w:p>
    <w:p w14:paraId="132F3351"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c. RegimenFiscal</w:t>
      </w:r>
    </w:p>
    <w:p w14:paraId="14D05E81" w14:textId="77777777" w:rsidR="00CD1A76" w:rsidRPr="00D84768" w:rsidRDefault="00CD1A76" w:rsidP="00CD1A76">
      <w:pPr>
        <w:ind w:left="851" w:right="899"/>
        <w:jc w:val="both"/>
        <w:rPr>
          <w:rFonts w:ascii="Palatino Linotype" w:hAnsi="Palatino Linotype" w:cs="Arial"/>
          <w:b/>
          <w:bCs/>
          <w:i/>
          <w:noProof/>
          <w:sz w:val="22"/>
          <w:szCs w:val="22"/>
        </w:rPr>
      </w:pPr>
      <w:r w:rsidRPr="00D84768">
        <w:rPr>
          <w:rFonts w:ascii="Palatino Linotype" w:hAnsi="Palatino Linotype" w:cs="Arial"/>
          <w:b/>
          <w:bCs/>
          <w:i/>
          <w:noProof/>
          <w:sz w:val="22"/>
          <w:szCs w:val="22"/>
        </w:rPr>
        <w:t>4. Información del nodo Receptor</w:t>
      </w:r>
    </w:p>
    <w:p w14:paraId="18C6378F"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a. Rfc</w:t>
      </w:r>
    </w:p>
    <w:p w14:paraId="074E2160"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b. Nombre</w:t>
      </w:r>
    </w:p>
    <w:p w14:paraId="5B630ABC"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c. Residencia Fiscal</w:t>
      </w:r>
    </w:p>
    <w:p w14:paraId="019FA43E"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d. NumRegIdTrib</w:t>
      </w:r>
    </w:p>
    <w:p w14:paraId="646C9F1C" w14:textId="77777777" w:rsidR="00CD1A76" w:rsidRPr="00D84768" w:rsidRDefault="00CD1A76" w:rsidP="00CD1A76">
      <w:pPr>
        <w:ind w:left="851" w:right="899"/>
        <w:jc w:val="both"/>
        <w:rPr>
          <w:rFonts w:ascii="Palatino Linotype" w:hAnsi="Palatino Linotype" w:cs="Arial"/>
          <w:bCs/>
          <w:i/>
          <w:noProof/>
          <w:sz w:val="22"/>
          <w:szCs w:val="22"/>
        </w:rPr>
      </w:pPr>
      <w:r w:rsidRPr="00D84768">
        <w:rPr>
          <w:rFonts w:ascii="Palatino Linotype" w:hAnsi="Palatino Linotype" w:cs="Arial"/>
          <w:bCs/>
          <w:i/>
          <w:noProof/>
          <w:sz w:val="22"/>
          <w:szCs w:val="22"/>
        </w:rPr>
        <w:t>e. UsoCFDI”</w:t>
      </w:r>
    </w:p>
    <w:p w14:paraId="7548C4D4" w14:textId="60F53B1F" w:rsidR="00862D48" w:rsidRPr="00D84768" w:rsidRDefault="00862D48" w:rsidP="00586273">
      <w:pPr>
        <w:spacing w:before="240" w:after="240" w:line="360" w:lineRule="auto"/>
        <w:jc w:val="both"/>
        <w:rPr>
          <w:rFonts w:ascii="Palatino Linotype" w:hAnsi="Palatino Linotype" w:cs="Arial"/>
          <w:lang w:eastAsia="es-CO"/>
        </w:rPr>
      </w:pPr>
      <w:r w:rsidRPr="00D84768">
        <w:rPr>
          <w:rFonts w:ascii="Palatino Linotype" w:hAnsi="Palatino Linotype" w:cs="Arial"/>
          <w:lang w:eastAsia="es-CO"/>
        </w:rPr>
        <w:t xml:space="preserve">Por lo anterior, es que este Órgano Garante determina ordenar </w:t>
      </w:r>
      <w:r w:rsidR="00452559" w:rsidRPr="00D84768">
        <w:rPr>
          <w:rFonts w:ascii="Palatino Linotype" w:hAnsi="Palatino Linotype" w:cs="Arial"/>
          <w:lang w:eastAsia="es-CO"/>
        </w:rPr>
        <w:t>de nueva cuenta la realización de la versión pública de cada una de las facturas remitidas por el Sujeto Obligado mediante su respuesta, a efecto de que se dejen visibles los datos precisados y se teste debidamente la información, por lo que se deberá justificar la supresión de los datos a través del Acuerdo de Clasificación de la información emitido por su Comité de Transparencia, en el que debidamente fundado y motivado exponga las razones por las cuales se eliminaron los da</w:t>
      </w:r>
      <w:r w:rsidR="000979C0" w:rsidRPr="00D84768">
        <w:rPr>
          <w:rFonts w:ascii="Palatino Linotype" w:hAnsi="Palatino Linotype" w:cs="Arial"/>
          <w:lang w:eastAsia="es-CO"/>
        </w:rPr>
        <w:t>tos, de conformidad con el considerando siguiente.</w:t>
      </w:r>
    </w:p>
    <w:p w14:paraId="45B47BBE" w14:textId="7C6C706B" w:rsidR="00B51C92" w:rsidRPr="00D84768" w:rsidRDefault="00B51C92" w:rsidP="00586273">
      <w:pPr>
        <w:spacing w:before="240" w:after="240" w:line="360" w:lineRule="auto"/>
        <w:jc w:val="both"/>
        <w:rPr>
          <w:rFonts w:ascii="Palatino Linotype" w:hAnsi="Palatino Linotype" w:cs="Arial"/>
        </w:rPr>
      </w:pPr>
      <w:r w:rsidRPr="00D84768">
        <w:rPr>
          <w:rFonts w:ascii="Palatino Linotype" w:hAnsi="Palatino Linotype" w:cs="Arial"/>
          <w:lang w:eastAsia="es-CO"/>
        </w:rPr>
        <w:t xml:space="preserve">Finalmente, por cuanto hace a las pólizas de seguro </w:t>
      </w:r>
      <w:r w:rsidR="00C03B20" w:rsidRPr="00D84768">
        <w:rPr>
          <w:rFonts w:ascii="Palatino Linotype" w:hAnsi="Palatino Linotype" w:cs="Arial"/>
          <w:lang w:eastAsia="es-CO"/>
        </w:rPr>
        <w:t xml:space="preserve">requeridas por el particular, debemos recordar que vía respuesta el Sujeto Obligado expresó que se adjuntaban a la misma sin que ello </w:t>
      </w:r>
      <w:r w:rsidR="00BE17FD" w:rsidRPr="00D84768">
        <w:rPr>
          <w:rFonts w:ascii="Palatino Linotype" w:hAnsi="Palatino Linotype" w:cs="Arial"/>
          <w:lang w:eastAsia="es-CO"/>
        </w:rPr>
        <w:t xml:space="preserve">así </w:t>
      </w:r>
      <w:r w:rsidR="00C03B20" w:rsidRPr="00D84768">
        <w:rPr>
          <w:rFonts w:ascii="Palatino Linotype" w:hAnsi="Palatino Linotype" w:cs="Arial"/>
          <w:lang w:eastAsia="es-CO"/>
        </w:rPr>
        <w:t>sucediera</w:t>
      </w:r>
      <w:r w:rsidR="00932ADC" w:rsidRPr="00D84768">
        <w:rPr>
          <w:rFonts w:ascii="Palatino Linotype" w:hAnsi="Palatino Linotype" w:cs="Arial"/>
          <w:lang w:eastAsia="es-CO"/>
        </w:rPr>
        <w:t xml:space="preserve">; sin embargo, </w:t>
      </w:r>
      <w:r w:rsidR="00BE17FD" w:rsidRPr="00D84768">
        <w:rPr>
          <w:rFonts w:ascii="Palatino Linotype" w:hAnsi="Palatino Linotype" w:cs="Arial"/>
          <w:lang w:eastAsia="es-CO"/>
        </w:rPr>
        <w:t xml:space="preserve">a través del oficio 202001304/128/2018 de fecha seis de diciembre del año dos mil dieciocho </w:t>
      </w:r>
      <w:r w:rsidR="00FE283D" w:rsidRPr="00D84768">
        <w:rPr>
          <w:rFonts w:ascii="Palatino Linotype" w:hAnsi="Palatino Linotype" w:cs="Arial"/>
          <w:lang w:eastAsia="es-CO"/>
        </w:rPr>
        <w:t xml:space="preserve">el Jefe de Departamento de Control Patrimonial informó al Director de Administración que adjuntaba los oficios turnados al proveedor “Seguros SURA, S.A. de C.V.” a través de los cuales solicita el aseguramiento de las 38 unidades vehiculares en fecha 15 y 30 de octubre de ese año, sin que hasta la fecha del oficio se hubiera tenido respuesta; </w:t>
      </w:r>
      <w:r w:rsidR="00FE283D" w:rsidRPr="00D84768">
        <w:rPr>
          <w:rFonts w:ascii="Palatino Linotype" w:hAnsi="Palatino Linotype" w:cs="Arial"/>
          <w:lang w:eastAsia="es-CO"/>
        </w:rPr>
        <w:lastRenderedPageBreak/>
        <w:t xml:space="preserve">situación de la cual este Órgano Garante advierte una contradicción entre la respuesta del Sujeto Obligado y su informe justificado, por ello con el objetivo de brindarle certeza jurídica al particular se determina ordenar previa búsqueda exhaustiva y razonable, las pólizas de seguro de </w:t>
      </w:r>
      <w:r w:rsidR="009A3732" w:rsidRPr="00D84768">
        <w:rPr>
          <w:rFonts w:ascii="Palatino Linotype" w:hAnsi="Palatino Linotype" w:cs="Arial"/>
          <w:lang w:eastAsia="es-CO"/>
        </w:rPr>
        <w:t>las 38 patrullas</w:t>
      </w:r>
      <w:r w:rsidR="00FE283D" w:rsidRPr="00D84768">
        <w:rPr>
          <w:rFonts w:ascii="Palatino Linotype" w:hAnsi="Palatino Linotype" w:cs="Arial"/>
          <w:lang w:eastAsia="es-CO"/>
        </w:rPr>
        <w:t xml:space="preserve"> materia de la solicitud.</w:t>
      </w:r>
    </w:p>
    <w:p w14:paraId="28407594" w14:textId="6E848DAC" w:rsidR="005C35B2" w:rsidRPr="00D84768" w:rsidRDefault="005C35B2" w:rsidP="005C35B2">
      <w:pPr>
        <w:spacing w:before="240" w:after="240" w:line="360" w:lineRule="auto"/>
        <w:jc w:val="both"/>
        <w:rPr>
          <w:rFonts w:ascii="Palatino Linotype" w:hAnsi="Palatino Linotype" w:cs="Arial"/>
          <w:lang w:val="es-MX" w:eastAsia="es-MX"/>
        </w:rPr>
      </w:pPr>
      <w:r w:rsidRPr="00D84768">
        <w:rPr>
          <w:rFonts w:ascii="Palatino Linotype" w:hAnsi="Palatino Linotype"/>
          <w:b/>
        </w:rPr>
        <w:t xml:space="preserve">Quinto. Versión Pública. </w:t>
      </w:r>
      <w:r w:rsidRPr="00D84768">
        <w:rPr>
          <w:rFonts w:ascii="Palatino Linotype" w:hAnsi="Palatino Linotype"/>
        </w:rPr>
        <w:t xml:space="preserve">Finalmente, debe señalarse que de ser el caso en que los documentos que vayan a ser entregados por el Ayuntamiento de </w:t>
      </w:r>
      <w:r w:rsidR="005E5776" w:rsidRPr="00D84768">
        <w:rPr>
          <w:rFonts w:ascii="Palatino Linotype" w:hAnsi="Palatino Linotype"/>
        </w:rPr>
        <w:t>Toluca</w:t>
      </w:r>
      <w:r w:rsidRPr="00D84768">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4BEB7D11"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429C7E6" w14:textId="77777777" w:rsidR="005C35B2" w:rsidRPr="00D84768" w:rsidRDefault="005C35B2" w:rsidP="005C35B2">
      <w:pPr>
        <w:autoSpaceDE w:val="0"/>
        <w:autoSpaceDN w:val="0"/>
        <w:adjustRightInd w:val="0"/>
        <w:ind w:left="993" w:right="1041"/>
        <w:jc w:val="both"/>
        <w:rPr>
          <w:rFonts w:ascii="Palatino Linotype" w:hAnsi="Palatino Linotype" w:cs="Arial"/>
          <w:b/>
          <w:i/>
          <w:sz w:val="22"/>
          <w:szCs w:val="22"/>
        </w:rPr>
      </w:pPr>
      <w:r w:rsidRPr="00D84768">
        <w:rPr>
          <w:rFonts w:ascii="Palatino Linotype" w:hAnsi="Palatino Linotype" w:cs="Arial"/>
          <w:b/>
          <w:i/>
          <w:sz w:val="22"/>
          <w:szCs w:val="22"/>
        </w:rPr>
        <w:t xml:space="preserve"> “Artículo 3. Para los efectos de la presente Ley se entenderá por:</w:t>
      </w:r>
    </w:p>
    <w:p w14:paraId="71E68A68" w14:textId="77777777" w:rsidR="005C35B2" w:rsidRPr="00D84768" w:rsidRDefault="005C35B2" w:rsidP="005C35B2">
      <w:pPr>
        <w:autoSpaceDE w:val="0"/>
        <w:autoSpaceDN w:val="0"/>
        <w:adjustRightInd w:val="0"/>
        <w:ind w:left="993" w:right="1041"/>
        <w:jc w:val="both"/>
        <w:rPr>
          <w:rFonts w:ascii="Palatino Linotype" w:hAnsi="Palatino Linotype" w:cs="Arial"/>
          <w:i/>
          <w:sz w:val="22"/>
          <w:szCs w:val="22"/>
        </w:rPr>
      </w:pPr>
      <w:r w:rsidRPr="00D84768">
        <w:rPr>
          <w:rFonts w:ascii="Palatino Linotype" w:hAnsi="Palatino Linotype" w:cs="Arial"/>
          <w:b/>
          <w:i/>
          <w:sz w:val="22"/>
          <w:szCs w:val="22"/>
        </w:rPr>
        <w:t>IX. Datos personales:</w:t>
      </w:r>
      <w:r w:rsidRPr="00D84768">
        <w:rPr>
          <w:rFonts w:ascii="Palatino Linotype" w:hAnsi="Palatino Linotype" w:cs="Arial"/>
          <w:i/>
          <w:sz w:val="22"/>
          <w:szCs w:val="22"/>
        </w:rPr>
        <w:t xml:space="preserve"> </w:t>
      </w:r>
      <w:r w:rsidRPr="00D84768">
        <w:rPr>
          <w:rFonts w:ascii="Palatino Linotype" w:hAnsi="Palatino Linotype" w:cs="Arial"/>
          <w:b/>
          <w:i/>
          <w:sz w:val="22"/>
          <w:szCs w:val="22"/>
        </w:rPr>
        <w:t>La información concerniente a una persona, identificada o identificable</w:t>
      </w:r>
      <w:r w:rsidRPr="00D84768">
        <w:rPr>
          <w:rFonts w:ascii="Palatino Linotype" w:hAnsi="Palatino Linotype" w:cs="Arial"/>
          <w:i/>
          <w:sz w:val="22"/>
          <w:szCs w:val="22"/>
        </w:rPr>
        <w:t xml:space="preserve"> según lo dispuesto por la Ley de Protección de Datos Personales del Estado de México;</w:t>
      </w:r>
    </w:p>
    <w:p w14:paraId="3458BF67" w14:textId="77777777" w:rsidR="005C35B2" w:rsidRPr="00D84768" w:rsidRDefault="005C35B2" w:rsidP="005C35B2">
      <w:pPr>
        <w:autoSpaceDE w:val="0"/>
        <w:autoSpaceDN w:val="0"/>
        <w:adjustRightInd w:val="0"/>
        <w:ind w:left="993" w:right="1041"/>
        <w:jc w:val="both"/>
        <w:rPr>
          <w:rFonts w:ascii="Palatino Linotype" w:hAnsi="Palatino Linotype" w:cs="Arial"/>
          <w:i/>
          <w:sz w:val="22"/>
          <w:szCs w:val="22"/>
        </w:rPr>
      </w:pPr>
      <w:r w:rsidRPr="00D84768">
        <w:rPr>
          <w:rFonts w:ascii="Palatino Linotype" w:hAnsi="Palatino Linotype" w:cs="Arial"/>
          <w:b/>
          <w:i/>
          <w:sz w:val="22"/>
          <w:szCs w:val="22"/>
        </w:rPr>
        <w:t>XX. Información clasificada:</w:t>
      </w:r>
      <w:r w:rsidRPr="00D84768">
        <w:rPr>
          <w:rFonts w:ascii="Palatino Linotype" w:hAnsi="Palatino Linotype" w:cs="Arial"/>
          <w:i/>
          <w:sz w:val="22"/>
          <w:szCs w:val="22"/>
        </w:rPr>
        <w:t xml:space="preserve"> Aquella considerada por la presente Ley como reservada o confidencial;</w:t>
      </w:r>
    </w:p>
    <w:p w14:paraId="4BB3A391" w14:textId="77777777" w:rsidR="005C35B2" w:rsidRPr="00D84768" w:rsidRDefault="005C35B2" w:rsidP="005C35B2">
      <w:pPr>
        <w:autoSpaceDE w:val="0"/>
        <w:autoSpaceDN w:val="0"/>
        <w:adjustRightInd w:val="0"/>
        <w:ind w:left="993" w:right="1041"/>
        <w:jc w:val="both"/>
        <w:rPr>
          <w:rFonts w:ascii="Palatino Linotype" w:hAnsi="Palatino Linotype"/>
          <w:i/>
          <w:sz w:val="22"/>
          <w:szCs w:val="22"/>
        </w:rPr>
      </w:pPr>
      <w:r w:rsidRPr="00D84768">
        <w:rPr>
          <w:rFonts w:ascii="Palatino Linotype" w:hAnsi="Palatino Linotype"/>
          <w:b/>
          <w:i/>
          <w:sz w:val="22"/>
          <w:szCs w:val="22"/>
        </w:rPr>
        <w:t>XXXII. Protección de Datos Personales:</w:t>
      </w:r>
      <w:r w:rsidRPr="00D84768">
        <w:rPr>
          <w:rFonts w:ascii="Palatino Linotype" w:hAnsi="Palatino Linotype"/>
          <w:i/>
          <w:sz w:val="22"/>
          <w:szCs w:val="22"/>
        </w:rPr>
        <w:t xml:space="preserve"> Derecho humano que tutela la privacidad de datos personales en poder de los sujetos obligados y sujetos particulares;</w:t>
      </w:r>
    </w:p>
    <w:p w14:paraId="4596C0A6" w14:textId="77777777" w:rsidR="005C35B2" w:rsidRPr="00D84768" w:rsidRDefault="005C35B2" w:rsidP="005C35B2">
      <w:pPr>
        <w:autoSpaceDE w:val="0"/>
        <w:autoSpaceDN w:val="0"/>
        <w:adjustRightInd w:val="0"/>
        <w:ind w:left="993" w:right="1041"/>
        <w:jc w:val="both"/>
        <w:rPr>
          <w:rFonts w:ascii="Palatino Linotype" w:hAnsi="Palatino Linotype" w:cs="Arial"/>
          <w:i/>
          <w:sz w:val="22"/>
          <w:szCs w:val="22"/>
        </w:rPr>
      </w:pPr>
      <w:r w:rsidRPr="00D84768">
        <w:rPr>
          <w:rFonts w:ascii="Palatino Linotype" w:hAnsi="Palatino Linotype" w:cs="Arial"/>
          <w:b/>
          <w:i/>
          <w:sz w:val="22"/>
          <w:szCs w:val="22"/>
        </w:rPr>
        <w:t>XLV. Versión pública</w:t>
      </w:r>
      <w:r w:rsidRPr="00D84768">
        <w:rPr>
          <w:rFonts w:ascii="Palatino Linotype" w:hAnsi="Palatino Linotype" w:cs="Arial"/>
          <w:i/>
          <w:sz w:val="22"/>
          <w:szCs w:val="22"/>
        </w:rPr>
        <w:t>: Documento en el que se elimine, suprime o borra la información clasificada como reservada o confidencial para permitir su acceso.”</w:t>
      </w:r>
    </w:p>
    <w:p w14:paraId="43698B61" w14:textId="77777777" w:rsidR="005C35B2" w:rsidRPr="00D84768" w:rsidRDefault="005C35B2" w:rsidP="005C35B2">
      <w:pPr>
        <w:autoSpaceDE w:val="0"/>
        <w:autoSpaceDN w:val="0"/>
        <w:adjustRightInd w:val="0"/>
        <w:ind w:left="993" w:right="1041"/>
        <w:jc w:val="both"/>
        <w:rPr>
          <w:rFonts w:ascii="Palatino Linotype" w:hAnsi="Palatino Linotype" w:cs="Arial"/>
          <w:i/>
          <w:sz w:val="22"/>
          <w:szCs w:val="22"/>
        </w:rPr>
      </w:pPr>
    </w:p>
    <w:p w14:paraId="4314D15E" w14:textId="77777777" w:rsidR="005C35B2" w:rsidRPr="00D84768" w:rsidRDefault="005C35B2" w:rsidP="005C35B2">
      <w:pPr>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6.</w:t>
      </w:r>
      <w:r w:rsidRPr="00D84768">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B0E7C8" w14:textId="77777777" w:rsidR="005C35B2" w:rsidRPr="00D84768" w:rsidRDefault="005C35B2" w:rsidP="005C35B2">
      <w:pPr>
        <w:ind w:left="993" w:right="1041"/>
        <w:contextualSpacing/>
        <w:jc w:val="both"/>
        <w:rPr>
          <w:rFonts w:ascii="Palatino Linotype" w:hAnsi="Palatino Linotype" w:cs="Arial"/>
          <w:bCs/>
          <w:i/>
          <w:noProof/>
          <w:sz w:val="22"/>
          <w:szCs w:val="22"/>
        </w:rPr>
      </w:pPr>
    </w:p>
    <w:p w14:paraId="6DB894F5" w14:textId="77777777" w:rsidR="005C35B2" w:rsidRPr="00D84768" w:rsidRDefault="005C35B2" w:rsidP="005C35B2">
      <w:pPr>
        <w:spacing w:before="240"/>
        <w:ind w:left="993" w:right="1041"/>
        <w:contextualSpacing/>
        <w:jc w:val="both"/>
        <w:rPr>
          <w:rFonts w:ascii="Palatino Linotype" w:hAnsi="Palatino Linotype" w:cs="Arial"/>
          <w:b/>
          <w:bCs/>
          <w:i/>
          <w:noProof/>
          <w:color w:val="FF0000"/>
          <w:sz w:val="22"/>
          <w:szCs w:val="22"/>
        </w:rPr>
      </w:pPr>
      <w:r w:rsidRPr="00D84768">
        <w:rPr>
          <w:rFonts w:ascii="Palatino Linotype" w:hAnsi="Palatino Linotype"/>
          <w:b/>
          <w:i/>
          <w:sz w:val="22"/>
          <w:szCs w:val="22"/>
        </w:rPr>
        <w:t>“Artículo 137.</w:t>
      </w:r>
      <w:r w:rsidRPr="00D84768">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3768C6" w14:textId="77777777" w:rsidR="005C35B2" w:rsidRPr="00D84768" w:rsidRDefault="005C35B2" w:rsidP="005C35B2">
      <w:pPr>
        <w:spacing w:before="240"/>
        <w:ind w:left="993" w:right="1041"/>
        <w:contextualSpacing/>
        <w:jc w:val="both"/>
        <w:rPr>
          <w:rFonts w:ascii="Palatino Linotype" w:hAnsi="Palatino Linotype" w:cs="Arial"/>
          <w:b/>
          <w:bCs/>
          <w:i/>
          <w:noProof/>
          <w:color w:val="FF0000"/>
          <w:sz w:val="22"/>
          <w:szCs w:val="22"/>
        </w:rPr>
      </w:pPr>
    </w:p>
    <w:p w14:paraId="31BB51D1"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143</w:t>
      </w:r>
      <w:r w:rsidRPr="00D84768">
        <w:rPr>
          <w:rFonts w:ascii="Palatino Linotype" w:hAnsi="Palatino Linotype"/>
          <w:i/>
          <w:sz w:val="22"/>
          <w:szCs w:val="22"/>
        </w:rPr>
        <w:t>. Para los efectos de esta Ley se considera información confidencial, la clasificada como tal, de manera permanente, por su naturaleza, cuando:</w:t>
      </w:r>
    </w:p>
    <w:p w14:paraId="7A3E8940" w14:textId="77777777" w:rsidR="005C35B2" w:rsidRPr="00D84768" w:rsidRDefault="005C35B2" w:rsidP="005C35B2">
      <w:pPr>
        <w:spacing w:before="240"/>
        <w:ind w:left="993" w:right="1041"/>
        <w:contextualSpacing/>
        <w:jc w:val="both"/>
        <w:rPr>
          <w:rFonts w:ascii="Palatino Linotype" w:hAnsi="Palatino Linotype"/>
          <w:i/>
        </w:rPr>
      </w:pPr>
      <w:r w:rsidRPr="00D84768">
        <w:rPr>
          <w:rFonts w:ascii="Palatino Linotype" w:hAnsi="Palatino Linotype"/>
          <w:b/>
          <w:i/>
          <w:sz w:val="22"/>
          <w:szCs w:val="22"/>
        </w:rPr>
        <w:t>I.</w:t>
      </w:r>
      <w:r w:rsidRPr="00D84768">
        <w:rPr>
          <w:rFonts w:ascii="Palatino Linotype" w:hAnsi="Palatino Linotype"/>
          <w:i/>
          <w:sz w:val="22"/>
          <w:szCs w:val="22"/>
        </w:rPr>
        <w:t xml:space="preserve"> </w:t>
      </w:r>
      <w:r w:rsidRPr="00D84768">
        <w:rPr>
          <w:rFonts w:ascii="Palatino Linotype" w:hAnsi="Palatino Linotype"/>
          <w:b/>
          <w:i/>
          <w:sz w:val="22"/>
          <w:szCs w:val="22"/>
        </w:rPr>
        <w:t>Se refiera a la información privada y los datos personales concernientes a una persona física o jurídico colectiva identificada o identificable</w:t>
      </w:r>
      <w:r w:rsidRPr="00D84768">
        <w:rPr>
          <w:rFonts w:ascii="Palatino Linotype" w:hAnsi="Palatino Linotype"/>
          <w:i/>
          <w:sz w:val="22"/>
          <w:szCs w:val="22"/>
        </w:rPr>
        <w:t>…”</w:t>
      </w:r>
    </w:p>
    <w:p w14:paraId="4C2463A5"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sidRPr="00D84768">
        <w:rPr>
          <w:rFonts w:ascii="Palatino Linotype" w:hAnsi="Palatino Linotype" w:cs="Arial"/>
        </w:rPr>
        <w:lastRenderedPageBreak/>
        <w:t>Ley de Protección de Datos Personales en Posesión de Sujetos Obligados del Estado de México y Municipios.</w:t>
      </w:r>
    </w:p>
    <w:p w14:paraId="2B0F9379"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F995D54"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eastAsia="Arial Unicode MS" w:hAnsi="Palatino Linotype" w:cs="Arial"/>
        </w:rPr>
        <w:t>E</w:t>
      </w:r>
      <w:r w:rsidRPr="00D84768">
        <w:rPr>
          <w:rFonts w:ascii="Palatino Linotype" w:hAnsi="Palatino Linotype"/>
        </w:rPr>
        <w:t xml:space="preserve">n el caso específico en los documentos que se ordenan, pudieran obrar datos que son considerados confidenciales, cuyo acceso debe ser restringido, los cuales </w:t>
      </w:r>
      <w:r w:rsidRPr="00D84768">
        <w:rPr>
          <w:rFonts w:ascii="Palatino Linotype" w:hAnsi="Palatino Linotype" w:cs="Arial"/>
        </w:rPr>
        <w:t xml:space="preserve">deben testarse al momento de la elaboración de versiones públicas, como es el caso de la </w:t>
      </w:r>
      <w:r w:rsidRPr="00D84768">
        <w:rPr>
          <w:rFonts w:ascii="Palatino Linotype" w:hAnsi="Palatino Linotype" w:cs="Arial"/>
          <w:b/>
        </w:rPr>
        <w:t>Clave Única de Registro de Población</w:t>
      </w:r>
      <w:r w:rsidRPr="00D84768">
        <w:rPr>
          <w:rFonts w:ascii="Palatino Linotype" w:hAnsi="Palatino Linotype" w:cs="Arial"/>
        </w:rPr>
        <w:t xml:space="preserve"> (CURP), la </w:t>
      </w:r>
      <w:r w:rsidRPr="00D84768">
        <w:rPr>
          <w:rFonts w:ascii="Palatino Linotype" w:hAnsi="Palatino Linotype" w:cs="Arial"/>
          <w:b/>
        </w:rPr>
        <w:t>firma de los</w:t>
      </w:r>
      <w:r w:rsidRPr="00D84768">
        <w:rPr>
          <w:rFonts w:ascii="Palatino Linotype" w:hAnsi="Palatino Linotype" w:cs="Arial"/>
        </w:rPr>
        <w:t xml:space="preserve"> </w:t>
      </w:r>
      <w:r w:rsidRPr="00D84768">
        <w:rPr>
          <w:rFonts w:ascii="Palatino Linotype" w:hAnsi="Palatino Linotype" w:cs="Arial"/>
          <w:b/>
        </w:rPr>
        <w:t>particulares</w:t>
      </w:r>
      <w:r w:rsidRPr="00D84768">
        <w:rPr>
          <w:rFonts w:ascii="Palatino Linotype" w:hAnsi="Palatino Linotype" w:cs="Arial"/>
        </w:rPr>
        <w:t xml:space="preserve"> y cualquier otro dato que por su naturaleza confidencial pudiera conllevar un riesgo grave para la esfera privada de los servidores públicos.</w:t>
      </w:r>
    </w:p>
    <w:p w14:paraId="099E273A"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3538908"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D84768">
        <w:rPr>
          <w:rFonts w:ascii="Palatino Linotype" w:hAnsi="Palatino Linotype" w:cs="Arial"/>
        </w:rPr>
        <w:lastRenderedPageBreak/>
        <w:t>contribuciones aportados por los gobernados, por lo que debe transparentarse su ejercicio.</w:t>
      </w:r>
    </w:p>
    <w:p w14:paraId="06BCAAC9"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EF0A150" w14:textId="77777777" w:rsidR="005C35B2" w:rsidRPr="00D84768" w:rsidRDefault="005C35B2"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406927B2" w14:textId="77777777" w:rsidR="005C35B2" w:rsidRPr="00D84768" w:rsidRDefault="005C35B2" w:rsidP="005C35B2">
      <w:pPr>
        <w:ind w:left="709" w:right="709"/>
        <w:jc w:val="both"/>
        <w:rPr>
          <w:rFonts w:ascii="Palatino Linotype" w:hAnsi="Palatino Linotype" w:cs="Arial,Bold"/>
          <w:b/>
          <w:bCs/>
          <w:i/>
          <w:sz w:val="22"/>
          <w:lang w:eastAsia="es-MX"/>
        </w:rPr>
      </w:pPr>
      <w:r w:rsidRPr="00D84768">
        <w:rPr>
          <w:rFonts w:ascii="Palatino Linotype" w:hAnsi="Palatino Linotype" w:cs="Arial,Bold"/>
          <w:b/>
          <w:bCs/>
          <w:i/>
          <w:sz w:val="22"/>
          <w:lang w:eastAsia="es-MX"/>
        </w:rPr>
        <w:t>“Artículo 23. </w:t>
      </w:r>
      <w:r w:rsidRPr="00D84768">
        <w:rPr>
          <w:rFonts w:ascii="Palatino Linotype" w:hAnsi="Palatino Linotype" w:cs="Arial,Bold"/>
          <w:bCs/>
          <w:i/>
          <w:sz w:val="22"/>
          <w:lang w:eastAsia="es-MX"/>
        </w:rPr>
        <w:t>(…)</w:t>
      </w:r>
    </w:p>
    <w:p w14:paraId="1D24A2E5" w14:textId="77777777" w:rsidR="005C35B2" w:rsidRPr="00D84768" w:rsidRDefault="005C35B2" w:rsidP="005C35B2">
      <w:pPr>
        <w:spacing w:after="240"/>
        <w:ind w:left="709" w:right="709"/>
        <w:jc w:val="both"/>
        <w:rPr>
          <w:rFonts w:ascii="Palatino Linotype" w:hAnsi="Palatino Linotype" w:cs="Arial,Bold"/>
          <w:b/>
          <w:bCs/>
          <w:i/>
          <w:sz w:val="22"/>
          <w:lang w:eastAsia="es-MX"/>
        </w:rPr>
      </w:pPr>
      <w:r w:rsidRPr="00D84768">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D84768">
        <w:rPr>
          <w:rFonts w:ascii="Palatino Linotype" w:hAnsi="Palatino Linotype" w:cs="Arial,Bold"/>
          <w:b/>
          <w:bCs/>
          <w:i/>
          <w:sz w:val="22"/>
          <w:lang w:eastAsia="es-MX"/>
        </w:rPr>
        <w:t>”</w:t>
      </w:r>
    </w:p>
    <w:p w14:paraId="2189ECC1" w14:textId="77777777" w:rsidR="005C35B2" w:rsidRPr="00D84768" w:rsidRDefault="005C35B2" w:rsidP="005C35B2">
      <w:pPr>
        <w:spacing w:after="240" w:line="360" w:lineRule="auto"/>
        <w:ind w:right="-93"/>
        <w:jc w:val="both"/>
        <w:rPr>
          <w:rFonts w:ascii="Palatino Linotype" w:hAnsi="Palatino Linotype" w:cs="Arial"/>
          <w:lang w:eastAsia="es-MX"/>
        </w:rPr>
      </w:pPr>
      <w:r w:rsidRPr="00D84768">
        <w:rPr>
          <w:rFonts w:ascii="Palatino Linotype" w:hAnsi="Palatino Linotype" w:cs="Arial"/>
          <w:lang w:eastAsia="es-MX"/>
        </w:rPr>
        <w:t xml:space="preserve">Por cuanto hace a la </w:t>
      </w:r>
      <w:r w:rsidRPr="00D84768">
        <w:rPr>
          <w:rFonts w:ascii="Palatino Linotype" w:hAnsi="Palatino Linotype" w:cs="Arial"/>
          <w:b/>
        </w:rPr>
        <w:t xml:space="preserve">Clave Única de Registro de Población, </w:t>
      </w:r>
      <w:r w:rsidRPr="00D84768">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4C7F7B" w14:textId="77777777" w:rsidR="005C35B2" w:rsidRPr="00D84768" w:rsidRDefault="005C35B2" w:rsidP="005C35B2">
      <w:pPr>
        <w:spacing w:line="360" w:lineRule="auto"/>
        <w:ind w:right="-93"/>
        <w:jc w:val="both"/>
        <w:rPr>
          <w:rFonts w:ascii="Palatino Linotype" w:hAnsi="Palatino Linotype" w:cs="Arial"/>
          <w:lang w:eastAsia="es-MX"/>
        </w:rPr>
      </w:pPr>
      <w:r w:rsidRPr="00D84768">
        <w:rPr>
          <w:rFonts w:ascii="Palatino Linotype" w:hAnsi="Palatino Linotype" w:cs="Arial"/>
          <w:lang w:eastAsia="es-MX"/>
        </w:rPr>
        <w:t>Lo anterior, tiene sustento en los artículos 86 y 91 de la Ley General de Población, la cual señala lo siguiente:</w:t>
      </w:r>
    </w:p>
    <w:p w14:paraId="68C36394" w14:textId="77777777" w:rsidR="005C35B2" w:rsidRPr="00D84768" w:rsidRDefault="005C35B2" w:rsidP="005C35B2">
      <w:pPr>
        <w:ind w:left="709" w:right="709"/>
        <w:jc w:val="both"/>
        <w:rPr>
          <w:rFonts w:ascii="Palatino Linotype" w:hAnsi="Palatino Linotype" w:cs="Arial"/>
          <w:i/>
          <w:sz w:val="22"/>
          <w:lang w:eastAsia="es-MX"/>
        </w:rPr>
      </w:pPr>
      <w:r w:rsidRPr="00D84768">
        <w:rPr>
          <w:rFonts w:ascii="Palatino Linotype" w:hAnsi="Palatino Linotype" w:cs="Arial,Bold"/>
          <w:b/>
          <w:bCs/>
          <w:i/>
          <w:sz w:val="22"/>
          <w:lang w:eastAsia="es-MX"/>
        </w:rPr>
        <w:lastRenderedPageBreak/>
        <w:t xml:space="preserve">“Artículo 86. </w:t>
      </w:r>
      <w:r w:rsidRPr="00D84768">
        <w:rPr>
          <w:rFonts w:ascii="Palatino Linotype" w:hAnsi="Palatino Linotype" w:cs="Arial"/>
          <w:i/>
          <w:sz w:val="22"/>
          <w:lang w:eastAsia="es-MX"/>
        </w:rPr>
        <w:t xml:space="preserve">El </w:t>
      </w:r>
      <w:r w:rsidRPr="00D84768">
        <w:rPr>
          <w:rFonts w:ascii="Palatino Linotype" w:hAnsi="Palatino Linotype" w:cs="Arial"/>
          <w:i/>
          <w:sz w:val="22"/>
          <w:szCs w:val="22"/>
        </w:rPr>
        <w:t>Registro</w:t>
      </w:r>
      <w:r w:rsidRPr="00D84768">
        <w:rPr>
          <w:rFonts w:ascii="Palatino Linotype" w:hAnsi="Palatino Linotype" w:cs="Arial"/>
          <w:i/>
          <w:sz w:val="22"/>
          <w:lang w:eastAsia="es-MX"/>
        </w:rPr>
        <w:t xml:space="preserve"> Nacional </w:t>
      </w:r>
      <w:r w:rsidRPr="00D84768">
        <w:rPr>
          <w:rFonts w:ascii="Palatino Linotype" w:hAnsi="Palatino Linotype" w:cs="Arial"/>
          <w:i/>
          <w:sz w:val="22"/>
        </w:rPr>
        <w:t>de</w:t>
      </w:r>
      <w:r w:rsidRPr="00D84768">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2AD01310" w14:textId="77777777" w:rsidR="005C35B2" w:rsidRPr="00D84768" w:rsidRDefault="005C35B2" w:rsidP="005C35B2">
      <w:pPr>
        <w:ind w:left="709" w:right="709"/>
        <w:jc w:val="both"/>
        <w:rPr>
          <w:rFonts w:ascii="Palatino Linotype" w:hAnsi="Palatino Linotype" w:cs="Arial"/>
          <w:i/>
          <w:sz w:val="22"/>
          <w:lang w:eastAsia="es-MX"/>
        </w:rPr>
      </w:pPr>
      <w:r w:rsidRPr="00D84768">
        <w:rPr>
          <w:rFonts w:ascii="Palatino Linotype" w:hAnsi="Palatino Linotype" w:cs="Arial,Bold"/>
          <w:b/>
          <w:bCs/>
          <w:i/>
          <w:sz w:val="22"/>
          <w:lang w:eastAsia="es-MX"/>
        </w:rPr>
        <w:t xml:space="preserve">Artículo 91. </w:t>
      </w:r>
      <w:r w:rsidRPr="00D84768">
        <w:rPr>
          <w:rFonts w:ascii="Palatino Linotype" w:hAnsi="Palatino Linotype" w:cs="Arial"/>
          <w:i/>
          <w:sz w:val="22"/>
          <w:lang w:eastAsia="es-MX"/>
        </w:rPr>
        <w:t xml:space="preserve">Al incorporar a una persona en el Registro Nacional de Población, se le asignará una clave que se denominará </w:t>
      </w:r>
      <w:r w:rsidRPr="00D84768">
        <w:rPr>
          <w:rFonts w:ascii="Palatino Linotype" w:hAnsi="Palatino Linotype" w:cs="Arial"/>
          <w:i/>
          <w:sz w:val="22"/>
          <w:szCs w:val="22"/>
        </w:rPr>
        <w:t>Clave</w:t>
      </w:r>
      <w:r w:rsidRPr="00D84768">
        <w:rPr>
          <w:rFonts w:ascii="Palatino Linotype" w:hAnsi="Palatino Linotype" w:cs="Arial"/>
          <w:i/>
          <w:sz w:val="22"/>
          <w:lang w:eastAsia="es-MX"/>
        </w:rPr>
        <w:t xml:space="preserve"> Única de Registro de Población. Esta servirá para registrarla e identificarla en forma </w:t>
      </w:r>
      <w:r w:rsidRPr="00D84768">
        <w:rPr>
          <w:rFonts w:ascii="Palatino Linotype" w:hAnsi="Palatino Linotype" w:cs="Arial"/>
          <w:i/>
          <w:sz w:val="22"/>
        </w:rPr>
        <w:t>individual</w:t>
      </w:r>
      <w:r w:rsidRPr="00D84768">
        <w:rPr>
          <w:rFonts w:ascii="Palatino Linotype" w:hAnsi="Palatino Linotype" w:cs="Arial"/>
          <w:i/>
          <w:sz w:val="22"/>
          <w:lang w:eastAsia="es-MX"/>
        </w:rPr>
        <w:t>.”</w:t>
      </w:r>
    </w:p>
    <w:p w14:paraId="0B780EAE" w14:textId="77777777" w:rsidR="005C35B2" w:rsidRPr="00D84768" w:rsidRDefault="005C35B2" w:rsidP="005C35B2">
      <w:pPr>
        <w:shd w:val="clear" w:color="auto" w:fill="FFFFFF"/>
        <w:spacing w:line="360" w:lineRule="auto"/>
        <w:jc w:val="both"/>
        <w:rPr>
          <w:rFonts w:ascii="Palatino Linotype" w:hAnsi="Palatino Linotype"/>
          <w:lang w:eastAsia="es-MX"/>
        </w:rPr>
      </w:pPr>
    </w:p>
    <w:p w14:paraId="17D7CFBA" w14:textId="013E9210" w:rsidR="005C35B2" w:rsidRPr="00D84768" w:rsidRDefault="0006112D" w:rsidP="005C35B2">
      <w:pPr>
        <w:shd w:val="clear" w:color="auto" w:fill="FFFFFF"/>
        <w:spacing w:line="360" w:lineRule="auto"/>
        <w:jc w:val="both"/>
        <w:rPr>
          <w:rFonts w:ascii="Palatino Linotype" w:hAnsi="Palatino Linotype"/>
          <w:lang w:eastAsia="es-MX"/>
        </w:rPr>
      </w:pPr>
      <w:r w:rsidRPr="00D84768">
        <w:rPr>
          <w:rFonts w:ascii="Palatino Linotype" w:hAnsi="Palatino Linotype"/>
          <w:lang w:eastAsia="es-MX"/>
        </w:rPr>
        <w:t>Por cuanto hace a</w:t>
      </w:r>
      <w:r w:rsidR="005C35B2" w:rsidRPr="00D84768">
        <w:rPr>
          <w:rFonts w:ascii="Palatino Linotype" w:hAnsi="Palatino Linotype"/>
          <w:lang w:eastAsia="es-MX"/>
        </w:rPr>
        <w:t xml:space="preserve">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005C35B2" w:rsidRPr="00D84768">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005C35B2" w:rsidRPr="00D84768">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4D48D3FB" w14:textId="77777777" w:rsidR="005C35B2" w:rsidRPr="00D84768" w:rsidRDefault="005C35B2" w:rsidP="005C35B2">
      <w:pPr>
        <w:spacing w:line="360" w:lineRule="auto"/>
        <w:ind w:right="-91"/>
        <w:jc w:val="both"/>
        <w:rPr>
          <w:rFonts w:ascii="Palatino Linotype" w:hAnsi="Palatino Linotype" w:cs="Arial"/>
          <w:lang w:eastAsia="es-MX"/>
        </w:rPr>
      </w:pPr>
      <w:r w:rsidRPr="00D84768">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7DF933F9" w14:textId="77777777" w:rsidR="005C35B2" w:rsidRPr="00D84768" w:rsidRDefault="005C35B2" w:rsidP="005C35B2">
      <w:pPr>
        <w:ind w:left="709" w:right="709"/>
        <w:jc w:val="both"/>
        <w:rPr>
          <w:rFonts w:ascii="Palatino Linotype" w:hAnsi="Palatino Linotype" w:cs="Arial,Bold"/>
          <w:b/>
          <w:bCs/>
          <w:i/>
          <w:sz w:val="22"/>
          <w:lang w:eastAsia="es-MX"/>
        </w:rPr>
      </w:pPr>
      <w:r w:rsidRPr="00D84768">
        <w:rPr>
          <w:rFonts w:ascii="Palatino Linotype" w:hAnsi="Palatino Linotype" w:cs="Arial,Bold"/>
          <w:b/>
          <w:bCs/>
          <w:i/>
          <w:sz w:val="22"/>
          <w:lang w:eastAsia="es-MX"/>
        </w:rPr>
        <w:t xml:space="preserve">“Clave Única de Registro de Población (CURP). </w:t>
      </w:r>
      <w:r w:rsidRPr="00D84768">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4BD7F5" w14:textId="77777777" w:rsidR="005C35B2" w:rsidRPr="00D84768" w:rsidRDefault="005C35B2" w:rsidP="005C35B2">
      <w:pPr>
        <w:ind w:left="709" w:right="709"/>
        <w:jc w:val="both"/>
        <w:rPr>
          <w:rFonts w:ascii="Palatino Linotype" w:hAnsi="Palatino Linotype" w:cs="Arial,Bold"/>
          <w:bCs/>
          <w:i/>
          <w:sz w:val="22"/>
          <w:lang w:eastAsia="es-MX"/>
        </w:rPr>
      </w:pPr>
      <w:r w:rsidRPr="00D84768">
        <w:rPr>
          <w:rFonts w:ascii="Palatino Linotype" w:hAnsi="Palatino Linotype" w:cs="Arial,Bold"/>
          <w:bCs/>
          <w:i/>
          <w:sz w:val="22"/>
          <w:lang w:eastAsia="es-MX"/>
        </w:rPr>
        <w:t>Resoluciones:</w:t>
      </w:r>
    </w:p>
    <w:p w14:paraId="64A8BF9F" w14:textId="77777777" w:rsidR="005C35B2" w:rsidRPr="00D84768" w:rsidRDefault="005C35B2" w:rsidP="005C35B2">
      <w:pPr>
        <w:ind w:left="709" w:right="709"/>
        <w:jc w:val="both"/>
        <w:rPr>
          <w:rFonts w:ascii="Palatino Linotype" w:hAnsi="Palatino Linotype" w:cs="Arial,Bold"/>
          <w:bCs/>
          <w:i/>
          <w:sz w:val="22"/>
          <w:lang w:eastAsia="es-MX"/>
        </w:rPr>
      </w:pPr>
      <w:r w:rsidRPr="00D84768">
        <w:rPr>
          <w:rFonts w:ascii="Palatino Linotype" w:hAnsi="Palatino Linotype" w:cs="Arial,Bold"/>
          <w:bCs/>
          <w:i/>
          <w:sz w:val="22"/>
          <w:lang w:eastAsia="es-MX"/>
        </w:rPr>
        <w:t>RRA 3995/16. Secretaría de la Defensa Nacional. 1 de febrero de 2017. Por unanimidad. Comisionado Ponente Rosendoevgueni Monterrey Chepov.</w:t>
      </w:r>
    </w:p>
    <w:p w14:paraId="38CC2D00" w14:textId="77777777" w:rsidR="005C35B2" w:rsidRPr="00D84768" w:rsidRDefault="005C35B2" w:rsidP="005C35B2">
      <w:pPr>
        <w:ind w:left="709" w:right="709"/>
        <w:jc w:val="both"/>
        <w:rPr>
          <w:rFonts w:ascii="Palatino Linotype" w:hAnsi="Palatino Linotype" w:cs="Arial,Bold"/>
          <w:bCs/>
          <w:i/>
          <w:sz w:val="22"/>
          <w:lang w:eastAsia="es-MX"/>
        </w:rPr>
      </w:pPr>
      <w:r w:rsidRPr="00D84768">
        <w:rPr>
          <w:rFonts w:ascii="Palatino Linotype" w:hAnsi="Palatino Linotype" w:cs="Arial,Bold"/>
          <w:bCs/>
          <w:i/>
          <w:sz w:val="22"/>
          <w:lang w:eastAsia="es-MX"/>
        </w:rPr>
        <w:lastRenderedPageBreak/>
        <w:t xml:space="preserve">RRA 0937/17. Senado de la República. 15 de marzo de 2017. Por unanimidad. Comisionada Ponente Ximena Puente de la Mora. </w:t>
      </w:r>
    </w:p>
    <w:p w14:paraId="0BE7249B" w14:textId="77777777" w:rsidR="005C35B2" w:rsidRPr="00D84768" w:rsidRDefault="005C35B2" w:rsidP="005C35B2">
      <w:pPr>
        <w:ind w:left="709" w:right="709"/>
        <w:jc w:val="both"/>
        <w:rPr>
          <w:rFonts w:ascii="Palatino Linotype" w:hAnsi="Palatino Linotype" w:cs="Arial,Bold"/>
          <w:bCs/>
          <w:i/>
          <w:sz w:val="22"/>
          <w:lang w:eastAsia="es-MX"/>
        </w:rPr>
      </w:pPr>
      <w:r w:rsidRPr="00D84768">
        <w:rPr>
          <w:rFonts w:ascii="Palatino Linotype" w:hAnsi="Palatino Linotype" w:cs="Arial,Bold"/>
          <w:bCs/>
          <w:i/>
          <w:sz w:val="22"/>
          <w:lang w:eastAsia="es-MX"/>
        </w:rPr>
        <w:t>RRA 0478/17. Secretaría de Relaciones Exteriores. 26 de abril de 2017. Por unanimidad. Comisionada Ponente Areli Cano Guadiana.”</w:t>
      </w:r>
    </w:p>
    <w:p w14:paraId="3D740C5A" w14:textId="1F1D74AD" w:rsidR="005C35B2" w:rsidRPr="00D84768" w:rsidRDefault="00C31E13" w:rsidP="005C35B2">
      <w:pPr>
        <w:autoSpaceDE w:val="0"/>
        <w:autoSpaceDN w:val="0"/>
        <w:adjustRightInd w:val="0"/>
        <w:spacing w:before="240" w:after="240" w:line="360" w:lineRule="auto"/>
        <w:ind w:right="50"/>
        <w:jc w:val="both"/>
        <w:rPr>
          <w:rFonts w:ascii="Palatino Linotype" w:hAnsi="Palatino Linotype" w:cs="Arial"/>
        </w:rPr>
      </w:pPr>
      <w:r w:rsidRPr="00D84768">
        <w:rPr>
          <w:rFonts w:ascii="Palatino Linotype" w:hAnsi="Palatino Linotype" w:cs="Arial"/>
        </w:rPr>
        <w:t>Finalmente</w:t>
      </w:r>
      <w:r w:rsidR="005C35B2" w:rsidRPr="00D84768">
        <w:rPr>
          <w:rFonts w:ascii="Palatino Linotype" w:hAnsi="Palatino Linotype" w:cs="Arial"/>
        </w:rPr>
        <w:t>,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280A9B75"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49.</w:t>
      </w:r>
      <w:r w:rsidRPr="00D84768">
        <w:rPr>
          <w:rFonts w:ascii="Palatino Linotype" w:hAnsi="Palatino Linotype"/>
          <w:i/>
          <w:sz w:val="22"/>
          <w:szCs w:val="22"/>
        </w:rPr>
        <w:t xml:space="preserve"> </w:t>
      </w:r>
      <w:r w:rsidRPr="00D84768">
        <w:rPr>
          <w:rFonts w:ascii="Palatino Linotype" w:hAnsi="Palatino Linotype"/>
          <w:b/>
          <w:i/>
          <w:sz w:val="22"/>
          <w:szCs w:val="22"/>
        </w:rPr>
        <w:t>Los Comités de Transparencia</w:t>
      </w:r>
      <w:r w:rsidRPr="00D84768">
        <w:rPr>
          <w:rFonts w:ascii="Palatino Linotype" w:hAnsi="Palatino Linotype"/>
          <w:i/>
          <w:sz w:val="22"/>
          <w:szCs w:val="22"/>
        </w:rPr>
        <w:t xml:space="preserve"> tendrán las siguientes atribuciones:</w:t>
      </w:r>
    </w:p>
    <w:p w14:paraId="39FAAB46"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VIII. Aprobar, modificar o revocar la clasificación de la información</w:t>
      </w:r>
      <w:r w:rsidRPr="00D84768">
        <w:rPr>
          <w:rFonts w:ascii="Palatino Linotype" w:hAnsi="Palatino Linotype"/>
          <w:i/>
          <w:sz w:val="22"/>
          <w:szCs w:val="22"/>
        </w:rPr>
        <w:t>…”</w:t>
      </w:r>
    </w:p>
    <w:p w14:paraId="6089791D" w14:textId="77777777" w:rsidR="005C35B2" w:rsidRPr="00D84768" w:rsidRDefault="005C35B2" w:rsidP="005C35B2">
      <w:pPr>
        <w:spacing w:before="240"/>
        <w:ind w:left="993" w:right="1041"/>
        <w:contextualSpacing/>
        <w:jc w:val="both"/>
        <w:rPr>
          <w:rFonts w:ascii="Palatino Linotype" w:hAnsi="Palatino Linotype"/>
          <w:b/>
          <w:i/>
          <w:sz w:val="22"/>
          <w:szCs w:val="22"/>
        </w:rPr>
      </w:pPr>
    </w:p>
    <w:p w14:paraId="14F841D4"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i/>
          <w:sz w:val="22"/>
          <w:szCs w:val="22"/>
        </w:rPr>
        <w:t>“</w:t>
      </w:r>
      <w:r w:rsidRPr="00D84768">
        <w:rPr>
          <w:rFonts w:ascii="Palatino Linotype" w:hAnsi="Palatino Linotype"/>
          <w:b/>
          <w:i/>
          <w:sz w:val="22"/>
          <w:szCs w:val="22"/>
        </w:rPr>
        <w:t>Artículo 53.</w:t>
      </w:r>
      <w:r w:rsidRPr="00D84768">
        <w:rPr>
          <w:rFonts w:ascii="Palatino Linotype" w:hAnsi="Palatino Linotype"/>
          <w:i/>
          <w:sz w:val="22"/>
          <w:szCs w:val="22"/>
        </w:rPr>
        <w:t xml:space="preserve"> Las </w:t>
      </w:r>
      <w:r w:rsidRPr="00D84768">
        <w:rPr>
          <w:rFonts w:ascii="Palatino Linotype" w:hAnsi="Palatino Linotype"/>
          <w:b/>
          <w:i/>
          <w:sz w:val="22"/>
          <w:szCs w:val="22"/>
        </w:rPr>
        <w:t>Unidades de Transparencia</w:t>
      </w:r>
      <w:r w:rsidRPr="00D84768">
        <w:rPr>
          <w:rFonts w:ascii="Palatino Linotype" w:hAnsi="Palatino Linotype"/>
          <w:i/>
          <w:sz w:val="22"/>
          <w:szCs w:val="22"/>
        </w:rPr>
        <w:t xml:space="preserve"> tendrán las siguientes </w:t>
      </w:r>
      <w:r w:rsidRPr="00D84768">
        <w:rPr>
          <w:rFonts w:ascii="Palatino Linotype" w:hAnsi="Palatino Linotype"/>
          <w:b/>
          <w:i/>
          <w:sz w:val="22"/>
          <w:szCs w:val="22"/>
        </w:rPr>
        <w:t>funciones</w:t>
      </w:r>
      <w:r w:rsidRPr="00D84768">
        <w:rPr>
          <w:rFonts w:ascii="Palatino Linotype" w:hAnsi="Palatino Linotype"/>
          <w:i/>
          <w:sz w:val="22"/>
          <w:szCs w:val="22"/>
        </w:rPr>
        <w:t>:</w:t>
      </w:r>
    </w:p>
    <w:p w14:paraId="130211E6"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X. Presentar ante el Comité, el proyecto de clasificación de información</w:t>
      </w:r>
      <w:r w:rsidRPr="00D84768">
        <w:rPr>
          <w:rFonts w:ascii="Palatino Linotype" w:hAnsi="Palatino Linotype"/>
          <w:i/>
          <w:sz w:val="22"/>
          <w:szCs w:val="22"/>
        </w:rPr>
        <w:t xml:space="preserve">…” </w:t>
      </w:r>
    </w:p>
    <w:p w14:paraId="51755AA7" w14:textId="77777777" w:rsidR="005C35B2" w:rsidRPr="00D84768" w:rsidRDefault="005C35B2" w:rsidP="005C35B2">
      <w:pPr>
        <w:spacing w:before="240"/>
        <w:ind w:left="993" w:right="1041"/>
        <w:contextualSpacing/>
        <w:jc w:val="both"/>
        <w:rPr>
          <w:rFonts w:ascii="Palatino Linotype" w:hAnsi="Palatino Linotype"/>
          <w:i/>
          <w:sz w:val="22"/>
          <w:szCs w:val="22"/>
        </w:rPr>
      </w:pPr>
    </w:p>
    <w:p w14:paraId="1E23980E"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“Artículo 59.</w:t>
      </w:r>
      <w:r w:rsidRPr="00D84768">
        <w:rPr>
          <w:rFonts w:ascii="Palatino Linotype" w:hAnsi="Palatino Linotype"/>
          <w:i/>
          <w:sz w:val="22"/>
          <w:szCs w:val="22"/>
        </w:rPr>
        <w:t xml:space="preserve"> Los </w:t>
      </w:r>
      <w:r w:rsidRPr="00D84768">
        <w:rPr>
          <w:rFonts w:ascii="Palatino Linotype" w:hAnsi="Palatino Linotype"/>
          <w:b/>
          <w:i/>
          <w:sz w:val="22"/>
          <w:szCs w:val="22"/>
        </w:rPr>
        <w:t>servidores públicos habilitados</w:t>
      </w:r>
      <w:r w:rsidRPr="00D84768">
        <w:rPr>
          <w:rFonts w:ascii="Palatino Linotype" w:hAnsi="Palatino Linotype"/>
          <w:i/>
          <w:sz w:val="22"/>
          <w:szCs w:val="22"/>
        </w:rPr>
        <w:t xml:space="preserve"> tendrán las </w:t>
      </w:r>
      <w:r w:rsidRPr="00D84768">
        <w:rPr>
          <w:rFonts w:ascii="Palatino Linotype" w:hAnsi="Palatino Linotype"/>
          <w:b/>
          <w:i/>
          <w:sz w:val="22"/>
          <w:szCs w:val="22"/>
        </w:rPr>
        <w:t>funciones</w:t>
      </w:r>
      <w:r w:rsidRPr="00D84768">
        <w:rPr>
          <w:rFonts w:ascii="Palatino Linotype" w:hAnsi="Palatino Linotype"/>
          <w:i/>
          <w:sz w:val="22"/>
          <w:szCs w:val="22"/>
        </w:rPr>
        <w:t xml:space="preserve"> siguientes:</w:t>
      </w:r>
    </w:p>
    <w:p w14:paraId="568D0D54" w14:textId="77777777" w:rsidR="005C35B2" w:rsidRPr="00D84768" w:rsidRDefault="005C35B2" w:rsidP="005C35B2">
      <w:pPr>
        <w:spacing w:before="240"/>
        <w:ind w:left="993" w:right="1041"/>
        <w:contextualSpacing/>
        <w:jc w:val="both"/>
        <w:rPr>
          <w:rFonts w:ascii="Palatino Linotype" w:hAnsi="Palatino Linotype"/>
          <w:i/>
          <w:sz w:val="22"/>
          <w:szCs w:val="22"/>
        </w:rPr>
      </w:pPr>
      <w:r w:rsidRPr="00D84768">
        <w:rPr>
          <w:rFonts w:ascii="Palatino Linotype" w:hAnsi="Palatino Linotype"/>
          <w:b/>
          <w:i/>
          <w:sz w:val="22"/>
          <w:szCs w:val="22"/>
        </w:rPr>
        <w:t>V. Integrar y presentar al responsable de la Unidad de Transparencia la propuesta de clasificación de información</w:t>
      </w:r>
      <w:r w:rsidRPr="00D84768">
        <w:rPr>
          <w:rFonts w:ascii="Palatino Linotype" w:hAnsi="Palatino Linotype"/>
          <w:i/>
          <w:sz w:val="22"/>
          <w:szCs w:val="22"/>
        </w:rPr>
        <w:t>, la cual tendrá los fundamentos y argumentos en que se basa dicha propuesta…”</w:t>
      </w:r>
    </w:p>
    <w:p w14:paraId="7C452ADA" w14:textId="77777777" w:rsidR="005C35B2" w:rsidRPr="00D84768" w:rsidRDefault="005C35B2" w:rsidP="005C35B2">
      <w:pPr>
        <w:spacing w:before="240" w:after="240" w:line="360" w:lineRule="auto"/>
        <w:jc w:val="both"/>
        <w:rPr>
          <w:rFonts w:ascii="Palatino Linotype" w:hAnsi="Palatino Linotype" w:cs="Arial"/>
        </w:rPr>
      </w:pPr>
      <w:r w:rsidRPr="00D84768">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D84768">
        <w:rPr>
          <w:rFonts w:ascii="Palatino Linotype" w:hAnsi="Palatino Linotype" w:cs="Arial"/>
        </w:rPr>
        <w:lastRenderedPageBreak/>
        <w:t>de clasificación de la información y finalmente sea éste último quien apruebe, modifique o revoque la clasificación de la información solicitada.</w:t>
      </w:r>
    </w:p>
    <w:p w14:paraId="0489D726" w14:textId="77777777" w:rsidR="005C35B2" w:rsidRPr="00D84768" w:rsidRDefault="005C35B2" w:rsidP="005C35B2">
      <w:pPr>
        <w:spacing w:before="240" w:after="240" w:line="360" w:lineRule="auto"/>
        <w:jc w:val="both"/>
        <w:rPr>
          <w:rFonts w:ascii="Palatino Linotype" w:hAnsi="Palatino Linotype"/>
          <w:color w:val="000000"/>
        </w:rPr>
      </w:pPr>
      <w:r w:rsidRPr="00D84768">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70F7A49" w14:textId="77777777" w:rsidR="005C35B2" w:rsidRPr="00D84768" w:rsidRDefault="005C35B2" w:rsidP="005C35B2">
      <w:pPr>
        <w:spacing w:before="240" w:after="240"/>
        <w:ind w:left="993" w:right="1041"/>
        <w:jc w:val="both"/>
        <w:rPr>
          <w:rFonts w:ascii="Palatino Linotype" w:hAnsi="Palatino Linotype" w:cs="Arial"/>
          <w:i/>
          <w:sz w:val="22"/>
          <w:szCs w:val="22"/>
        </w:rPr>
      </w:pPr>
      <w:r w:rsidRPr="00D84768">
        <w:rPr>
          <w:rFonts w:ascii="Palatino Linotype" w:hAnsi="Palatino Linotype"/>
          <w:i/>
          <w:color w:val="000000"/>
          <w:sz w:val="22"/>
          <w:szCs w:val="22"/>
        </w:rPr>
        <w:t>“</w:t>
      </w:r>
      <w:r w:rsidRPr="00D84768">
        <w:rPr>
          <w:rFonts w:ascii="Palatino Linotype" w:hAnsi="Palatino Linotype"/>
          <w:b/>
          <w:i/>
          <w:sz w:val="22"/>
          <w:szCs w:val="22"/>
        </w:rPr>
        <w:t>Artículo 149.</w:t>
      </w:r>
      <w:r w:rsidRPr="00D84768">
        <w:rPr>
          <w:rFonts w:ascii="Palatino Linotype" w:hAnsi="Palatino Linotype"/>
          <w:i/>
          <w:sz w:val="22"/>
          <w:szCs w:val="22"/>
        </w:rPr>
        <w:t xml:space="preserve"> El </w:t>
      </w:r>
      <w:r w:rsidRPr="00D84768">
        <w:rPr>
          <w:rFonts w:ascii="Palatino Linotype" w:hAnsi="Palatino Linotype"/>
          <w:b/>
          <w:i/>
          <w:sz w:val="22"/>
          <w:szCs w:val="22"/>
        </w:rPr>
        <w:t>acuerdo que clasifique la información como confidencial</w:t>
      </w:r>
      <w:r w:rsidRPr="00D8476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7D3262C" w14:textId="77777777" w:rsidR="005C35B2" w:rsidRPr="00D84768" w:rsidRDefault="005C35B2" w:rsidP="005C35B2">
      <w:pPr>
        <w:spacing w:before="240" w:after="240" w:line="360" w:lineRule="auto"/>
        <w:jc w:val="both"/>
        <w:rPr>
          <w:rFonts w:ascii="Palatino Linotype" w:hAnsi="Palatino Linotype" w:cs="Arial"/>
        </w:rPr>
      </w:pPr>
      <w:r w:rsidRPr="00D84768">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13BA2C2D" w:rsidR="00055BCD" w:rsidRPr="00D84768" w:rsidRDefault="00652DED" w:rsidP="009A65F3">
      <w:pPr>
        <w:spacing w:before="240" w:after="240" w:line="360" w:lineRule="auto"/>
        <w:jc w:val="both"/>
        <w:rPr>
          <w:rFonts w:ascii="Palatino Linotype" w:hAnsi="Palatino Linotype"/>
        </w:rPr>
      </w:pPr>
      <w:r w:rsidRPr="00D84768">
        <w:rPr>
          <w:rFonts w:ascii="Palatino Linotype" w:hAnsi="Palatino Linotype" w:cs="Arial"/>
        </w:rPr>
        <w:t xml:space="preserve">Así, con fundamento en lo prescrito en los artículos 5 párrafos </w:t>
      </w:r>
      <w:r w:rsidR="00613D0E" w:rsidRPr="00D84768">
        <w:rPr>
          <w:rFonts w:ascii="Palatino Linotype" w:hAnsi="Palatino Linotype" w:cs="Arial"/>
        </w:rPr>
        <w:t>vigésimo, vigésimo primero</w:t>
      </w:r>
      <w:r w:rsidRPr="00D84768">
        <w:rPr>
          <w:rFonts w:ascii="Palatino Linotype" w:hAnsi="Palatino Linotype" w:cs="Arial"/>
        </w:rPr>
        <w:t xml:space="preserve"> y </w:t>
      </w:r>
      <w:r w:rsidR="00613D0E" w:rsidRPr="00D84768">
        <w:rPr>
          <w:rFonts w:ascii="Palatino Linotype" w:hAnsi="Palatino Linotype" w:cs="Arial"/>
        </w:rPr>
        <w:t>vigésimo segundo</w:t>
      </w:r>
      <w:r w:rsidRPr="00D84768">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58B0470E" w:rsidR="009E5A7D" w:rsidRPr="00D84768"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D84768">
        <w:rPr>
          <w:rFonts w:ascii="Palatino Linotype" w:hAnsi="Palatino Linotype" w:cs="Arial"/>
          <w:b/>
        </w:rPr>
        <w:t>R E S U E L V E:</w:t>
      </w:r>
    </w:p>
    <w:p w14:paraId="6341CA18" w14:textId="3876BD8A" w:rsidR="007F7E34" w:rsidRPr="00D84768" w:rsidRDefault="007F7E34" w:rsidP="007F7E34">
      <w:pPr>
        <w:spacing w:before="240" w:after="240" w:line="360" w:lineRule="auto"/>
        <w:jc w:val="both"/>
        <w:rPr>
          <w:rFonts w:ascii="Palatino Linotype" w:hAnsi="Palatino Linotype" w:cs="Arial"/>
        </w:rPr>
      </w:pPr>
      <w:r w:rsidRPr="00D84768">
        <w:rPr>
          <w:rFonts w:ascii="Palatino Linotype" w:hAnsi="Palatino Linotype" w:cs="Arial"/>
          <w:b/>
        </w:rPr>
        <w:lastRenderedPageBreak/>
        <w:t xml:space="preserve">Primero. </w:t>
      </w:r>
      <w:r w:rsidRPr="00D84768">
        <w:rPr>
          <w:rFonts w:ascii="Palatino Linotype" w:hAnsi="Palatino Linotype" w:cs="Arial"/>
        </w:rPr>
        <w:t>Resultan</w:t>
      </w:r>
      <w:r w:rsidR="005841E9" w:rsidRPr="00D84768">
        <w:rPr>
          <w:rFonts w:ascii="Palatino Linotype" w:hAnsi="Palatino Linotype" w:cs="Arial"/>
        </w:rPr>
        <w:t xml:space="preserve"> parcialmente</w:t>
      </w:r>
      <w:r w:rsidRPr="00D84768">
        <w:rPr>
          <w:rFonts w:ascii="Palatino Linotype" w:hAnsi="Palatino Linotype" w:cs="Arial"/>
        </w:rPr>
        <w:t xml:space="preserve"> fundados los motivos de inconformidad aducidos por la recurrente, en términos de los argumentos de derecho señalados en el Considerando Cuarto, por lo que se </w:t>
      </w:r>
      <w:r w:rsidR="00F61101" w:rsidRPr="00D84768">
        <w:rPr>
          <w:rFonts w:ascii="Palatino Linotype" w:hAnsi="Palatino Linotype" w:cs="Arial"/>
          <w:b/>
        </w:rPr>
        <w:t>MODIFIC</w:t>
      </w:r>
      <w:r w:rsidR="00B365A2" w:rsidRPr="00D84768">
        <w:rPr>
          <w:rFonts w:ascii="Palatino Linotype" w:hAnsi="Palatino Linotype" w:cs="Arial"/>
          <w:b/>
        </w:rPr>
        <w:t>A</w:t>
      </w:r>
      <w:r w:rsidRPr="00D84768">
        <w:rPr>
          <w:rFonts w:ascii="Palatino Linotype" w:hAnsi="Palatino Linotype" w:cs="Arial"/>
          <w:b/>
        </w:rPr>
        <w:t xml:space="preserve"> </w:t>
      </w:r>
      <w:r w:rsidRPr="00D84768">
        <w:rPr>
          <w:rFonts w:ascii="Palatino Linotype" w:hAnsi="Palatino Linotype" w:cs="Arial"/>
        </w:rPr>
        <w:t xml:space="preserve">la respuesta emitida por el Sujeto Obligado. </w:t>
      </w:r>
    </w:p>
    <w:p w14:paraId="74BA6ECF" w14:textId="49F32184" w:rsidR="00B365A2" w:rsidRPr="00D84768" w:rsidRDefault="00B365A2" w:rsidP="00B365A2">
      <w:pPr>
        <w:spacing w:before="240" w:after="240" w:line="360" w:lineRule="auto"/>
        <w:jc w:val="both"/>
        <w:rPr>
          <w:rFonts w:ascii="Palatino Linotype" w:hAnsi="Palatino Linotype" w:cs="Arial"/>
          <w:bCs/>
          <w:shd w:val="clear" w:color="auto" w:fill="FFFFFF"/>
        </w:rPr>
      </w:pPr>
      <w:r w:rsidRPr="00D84768">
        <w:rPr>
          <w:rFonts w:ascii="Palatino Linotype" w:hAnsi="Palatino Linotype" w:cs="Arial"/>
          <w:b/>
          <w:bCs/>
          <w:shd w:val="clear" w:color="auto" w:fill="FFFFFF"/>
        </w:rPr>
        <w:t xml:space="preserve">Segundo. Se ORDENA </w:t>
      </w:r>
      <w:r w:rsidRPr="00D84768">
        <w:rPr>
          <w:rFonts w:ascii="Palatino Linotype" w:hAnsi="Palatino Linotype" w:cs="Arial"/>
          <w:bCs/>
          <w:shd w:val="clear" w:color="auto" w:fill="FFFFFF"/>
        </w:rPr>
        <w:t>al Sujeto Obligado en términos de</w:t>
      </w:r>
      <w:r w:rsidR="005841E9" w:rsidRPr="00D84768">
        <w:rPr>
          <w:rFonts w:ascii="Palatino Linotype" w:hAnsi="Palatino Linotype" w:cs="Arial"/>
          <w:bCs/>
          <w:shd w:val="clear" w:color="auto" w:fill="FFFFFF"/>
        </w:rPr>
        <w:t xml:space="preserve"> </w:t>
      </w:r>
      <w:r w:rsidRPr="00D84768">
        <w:rPr>
          <w:rFonts w:ascii="Palatino Linotype" w:hAnsi="Palatino Linotype" w:cs="Arial"/>
          <w:bCs/>
          <w:shd w:val="clear" w:color="auto" w:fill="FFFFFF"/>
        </w:rPr>
        <w:t>l</w:t>
      </w:r>
      <w:r w:rsidR="005841E9" w:rsidRPr="00D84768">
        <w:rPr>
          <w:rFonts w:ascii="Palatino Linotype" w:hAnsi="Palatino Linotype" w:cs="Arial"/>
          <w:bCs/>
          <w:shd w:val="clear" w:color="auto" w:fill="FFFFFF"/>
        </w:rPr>
        <w:t>os</w:t>
      </w:r>
      <w:r w:rsidRPr="00D84768">
        <w:rPr>
          <w:rFonts w:ascii="Palatino Linotype" w:hAnsi="Palatino Linotype" w:cs="Arial"/>
          <w:bCs/>
          <w:shd w:val="clear" w:color="auto" w:fill="FFFFFF"/>
        </w:rPr>
        <w:t xml:space="preserve"> Considerando</w:t>
      </w:r>
      <w:r w:rsidR="005841E9" w:rsidRPr="00D84768">
        <w:rPr>
          <w:rFonts w:ascii="Palatino Linotype" w:hAnsi="Palatino Linotype" w:cs="Arial"/>
          <w:bCs/>
          <w:shd w:val="clear" w:color="auto" w:fill="FFFFFF"/>
        </w:rPr>
        <w:t>s</w:t>
      </w:r>
      <w:r w:rsidRPr="00D84768">
        <w:rPr>
          <w:rFonts w:ascii="Palatino Linotype" w:hAnsi="Palatino Linotype" w:cs="Arial"/>
          <w:bCs/>
          <w:shd w:val="clear" w:color="auto" w:fill="FFFFFF"/>
        </w:rPr>
        <w:t xml:space="preserve"> Cuarto</w:t>
      </w:r>
      <w:r w:rsidR="005841E9" w:rsidRPr="00D84768">
        <w:rPr>
          <w:rFonts w:ascii="Palatino Linotype" w:hAnsi="Palatino Linotype" w:cs="Arial"/>
          <w:bCs/>
          <w:shd w:val="clear" w:color="auto" w:fill="FFFFFF"/>
        </w:rPr>
        <w:t xml:space="preserve"> y Quinto</w:t>
      </w:r>
      <w:r w:rsidRPr="00D84768">
        <w:rPr>
          <w:rFonts w:ascii="Palatino Linotype" w:hAnsi="Palatino Linotype" w:cs="Arial"/>
          <w:bCs/>
          <w:shd w:val="clear" w:color="auto" w:fill="FFFFFF"/>
        </w:rPr>
        <w:t xml:space="preserve"> de esta resol</w:t>
      </w:r>
      <w:r w:rsidR="00C425A8" w:rsidRPr="00D84768">
        <w:rPr>
          <w:rFonts w:ascii="Palatino Linotype" w:hAnsi="Palatino Linotype" w:cs="Arial"/>
          <w:bCs/>
          <w:shd w:val="clear" w:color="auto" w:fill="FFFFFF"/>
        </w:rPr>
        <w:t xml:space="preserve">ución, haga entrega vía SAIMEX, en versión pública, </w:t>
      </w:r>
      <w:r w:rsidRPr="00D84768">
        <w:rPr>
          <w:rFonts w:ascii="Palatino Linotype" w:hAnsi="Palatino Linotype" w:cs="Arial"/>
          <w:bCs/>
          <w:shd w:val="clear" w:color="auto" w:fill="FFFFFF"/>
        </w:rPr>
        <w:t>de</w:t>
      </w:r>
      <w:r w:rsidR="00F564DF" w:rsidRPr="00D84768">
        <w:rPr>
          <w:rFonts w:ascii="Palatino Linotype" w:hAnsi="Palatino Linotype" w:cs="Arial"/>
          <w:bCs/>
          <w:shd w:val="clear" w:color="auto" w:fill="FFFFFF"/>
        </w:rPr>
        <w:t xml:space="preserve"> las patrullas referidas en la solicitud,</w:t>
      </w:r>
      <w:r w:rsidRPr="00D84768">
        <w:rPr>
          <w:rFonts w:ascii="Palatino Linotype" w:hAnsi="Palatino Linotype" w:cs="Arial"/>
          <w:bCs/>
          <w:shd w:val="clear" w:color="auto" w:fill="FFFFFF"/>
        </w:rPr>
        <w:t xml:space="preserve"> lo siguiente:</w:t>
      </w:r>
    </w:p>
    <w:p w14:paraId="645D822E" w14:textId="0F59B13A" w:rsidR="00395E91" w:rsidRPr="00D84768" w:rsidRDefault="00F564DF" w:rsidP="00395E91">
      <w:pPr>
        <w:pStyle w:val="Prrafodelista"/>
        <w:numPr>
          <w:ilvl w:val="0"/>
          <w:numId w:val="3"/>
        </w:numPr>
        <w:spacing w:before="240" w:after="240" w:line="360" w:lineRule="auto"/>
        <w:jc w:val="both"/>
        <w:rPr>
          <w:rFonts w:ascii="Palatino Linotype" w:hAnsi="Palatino Linotype" w:cs="Arial"/>
          <w:bCs/>
          <w:shd w:val="clear" w:color="auto" w:fill="FFFFFF"/>
        </w:rPr>
      </w:pPr>
      <w:r w:rsidRPr="00D84768">
        <w:rPr>
          <w:rFonts w:ascii="Palatino Linotype" w:hAnsi="Palatino Linotype" w:cs="Arial"/>
        </w:rPr>
        <w:t>Facturas de la adquisición.</w:t>
      </w:r>
    </w:p>
    <w:p w14:paraId="1859776A" w14:textId="07790CF7" w:rsidR="00790C34" w:rsidRPr="00D84768" w:rsidRDefault="00F564DF" w:rsidP="00395E91">
      <w:pPr>
        <w:pStyle w:val="Prrafodelista"/>
        <w:numPr>
          <w:ilvl w:val="0"/>
          <w:numId w:val="3"/>
        </w:numPr>
        <w:spacing w:before="240" w:after="240" w:line="360" w:lineRule="auto"/>
        <w:jc w:val="both"/>
        <w:rPr>
          <w:rFonts w:ascii="Palatino Linotype" w:hAnsi="Palatino Linotype" w:cs="Arial"/>
          <w:bCs/>
          <w:shd w:val="clear" w:color="auto" w:fill="FFFFFF"/>
        </w:rPr>
      </w:pPr>
      <w:r w:rsidRPr="00D84768">
        <w:rPr>
          <w:rFonts w:ascii="Palatino Linotype" w:hAnsi="Palatino Linotype" w:cs="Arial"/>
          <w:bCs/>
          <w:shd w:val="clear" w:color="auto" w:fill="FFFFFF"/>
        </w:rPr>
        <w:t>Pólizas de aseguramiento</w:t>
      </w:r>
      <w:r w:rsidR="00790C34" w:rsidRPr="00D84768">
        <w:rPr>
          <w:rFonts w:ascii="Palatino Linotype" w:hAnsi="Palatino Linotype" w:cs="Arial"/>
          <w:bCs/>
          <w:shd w:val="clear" w:color="auto" w:fill="FFFFFF"/>
        </w:rPr>
        <w:t>.</w:t>
      </w:r>
    </w:p>
    <w:p w14:paraId="384CA10A" w14:textId="79C62D11" w:rsidR="00F564DF" w:rsidRPr="00D84768" w:rsidRDefault="00F564DF" w:rsidP="00F564DF">
      <w:pPr>
        <w:spacing w:before="240" w:after="240" w:line="276" w:lineRule="auto"/>
        <w:ind w:left="360"/>
        <w:jc w:val="both"/>
        <w:rPr>
          <w:rFonts w:ascii="Palatino Linotype" w:hAnsi="Palatino Linotype" w:cs="Arial"/>
          <w:bCs/>
          <w:shd w:val="clear" w:color="auto" w:fill="FFFFFF"/>
        </w:rPr>
      </w:pPr>
      <w:r w:rsidRPr="00D84768">
        <w:rPr>
          <w:rFonts w:ascii="Palatino Linotype" w:hAnsi="Palatino Linotype" w:cs="Arial"/>
          <w:bCs/>
          <w:shd w:val="clear" w:color="auto" w:fill="FFFFFF"/>
        </w:rPr>
        <w:t>El Acuerdo del Comité de Transparencia en términos de la Ley de Transparencia y Acceso a la Información Pública del Estado de México y Municipios, en el que funde y motive las razones sobre los datos que se supriman o eliminen, mismo que se pondrá a disposición del Recurrente.</w:t>
      </w:r>
    </w:p>
    <w:p w14:paraId="00F2C411" w14:textId="439626BD" w:rsidR="00F564DF" w:rsidRPr="00D84768" w:rsidRDefault="00F564DF" w:rsidP="00F564DF">
      <w:pPr>
        <w:spacing w:before="240" w:after="240" w:line="360" w:lineRule="auto"/>
        <w:ind w:left="360"/>
        <w:jc w:val="both"/>
        <w:rPr>
          <w:rFonts w:ascii="Palatino Linotype" w:hAnsi="Palatino Linotype"/>
        </w:rPr>
      </w:pPr>
      <w:r w:rsidRPr="00D84768">
        <w:rPr>
          <w:rFonts w:ascii="Palatino Linotype" w:hAnsi="Palatino Linotype"/>
        </w:rPr>
        <w:t>De ser el caso, que la información ordenada en el numeral 2 no obre dentro de los archivos del Sujeto Obligado bastará con que lo haga del conocimiento del particular.</w:t>
      </w:r>
    </w:p>
    <w:p w14:paraId="18263585" w14:textId="77777777" w:rsidR="008B6033" w:rsidRPr="00D84768" w:rsidRDefault="008B6033" w:rsidP="008B6033">
      <w:pPr>
        <w:spacing w:after="240" w:line="360" w:lineRule="auto"/>
        <w:jc w:val="both"/>
        <w:rPr>
          <w:rFonts w:ascii="Palatino Linotype" w:hAnsi="Palatino Linotype" w:cs="Arial"/>
          <w:b/>
        </w:rPr>
      </w:pPr>
      <w:r w:rsidRPr="00D84768">
        <w:rPr>
          <w:rFonts w:ascii="Palatino Linotype" w:hAnsi="Palatino Linotype" w:cs="Arial"/>
          <w:b/>
          <w:bCs/>
          <w:shd w:val="clear" w:color="auto" w:fill="FFFFFF"/>
        </w:rPr>
        <w:t>Tercero. Remítase</w:t>
      </w:r>
      <w:r w:rsidRPr="00D84768">
        <w:rPr>
          <w:rFonts w:ascii="Palatino Linotype" w:hAnsi="Palatino Linotype"/>
          <w:shd w:val="clear" w:color="auto" w:fill="FFFFFF"/>
        </w:rPr>
        <w:t xml:space="preserve"> al Responsable de la Unidad de Transparencia del</w:t>
      </w:r>
      <w:r w:rsidRPr="00D84768">
        <w:rPr>
          <w:rStyle w:val="apple-converted-space"/>
          <w:rFonts w:ascii="Palatino Linotype" w:hAnsi="Palatino Linotype"/>
          <w:bCs/>
          <w:shd w:val="clear" w:color="auto" w:fill="FFFFFF"/>
        </w:rPr>
        <w:t> </w:t>
      </w:r>
      <w:r w:rsidRPr="00D84768">
        <w:rPr>
          <w:rFonts w:ascii="Palatino Linotype" w:hAnsi="Palatino Linotype"/>
          <w:bCs/>
          <w:shd w:val="clear" w:color="auto" w:fill="FFFFFF"/>
        </w:rPr>
        <w:t xml:space="preserve">Sujeto Obligado </w:t>
      </w:r>
      <w:r w:rsidRPr="00D84768">
        <w:rPr>
          <w:rStyle w:val="apple-converted-space"/>
          <w:rFonts w:ascii="Palatino Linotype" w:hAnsi="Palatino Linotype" w:cs="Arial"/>
          <w:b/>
          <w:bCs/>
          <w:i/>
          <w:iCs/>
          <w:shd w:val="clear" w:color="auto" w:fill="FFFFFF"/>
        </w:rPr>
        <w:t> </w:t>
      </w:r>
      <w:r w:rsidRPr="00D84768">
        <w:rPr>
          <w:rStyle w:val="apple-converted-space"/>
          <w:rFonts w:ascii="Palatino Linotype" w:hAnsi="Palatino Linotype" w:cs="Arial"/>
          <w:bCs/>
          <w:iCs/>
          <w:shd w:val="clear" w:color="auto" w:fill="FFFFFF"/>
        </w:rPr>
        <w:t>la presente resolución</w:t>
      </w:r>
      <w:r w:rsidRPr="00D84768">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0CDFF4B4" w14:textId="77777777" w:rsidR="008B6033" w:rsidRPr="00D84768" w:rsidRDefault="008B6033" w:rsidP="008B6033">
      <w:pPr>
        <w:spacing w:before="240" w:after="240" w:line="360" w:lineRule="auto"/>
        <w:jc w:val="both"/>
        <w:rPr>
          <w:rFonts w:ascii="Palatino Linotype" w:hAnsi="Palatino Linotype" w:cs="Arial"/>
        </w:rPr>
      </w:pPr>
      <w:r w:rsidRPr="00D84768">
        <w:rPr>
          <w:rFonts w:ascii="Palatino Linotype" w:hAnsi="Palatino Linotype" w:cs="Arial"/>
          <w:b/>
        </w:rPr>
        <w:lastRenderedPageBreak/>
        <w:t>Cuarto.  Hágase del conocimiento</w:t>
      </w:r>
      <w:r w:rsidRPr="00D84768">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29A4F24" w14:textId="77777777" w:rsidR="004A60B4" w:rsidRPr="00D84768" w:rsidRDefault="004A60B4" w:rsidP="004A60B4">
      <w:pPr>
        <w:spacing w:before="240" w:after="240" w:line="360" w:lineRule="auto"/>
        <w:jc w:val="both"/>
        <w:rPr>
          <w:rFonts w:ascii="Palatino Linotype" w:hAnsi="Palatino Linotype" w:cs="Arial"/>
          <w:b/>
          <w:sz w:val="28"/>
          <w:szCs w:val="28"/>
        </w:rPr>
      </w:pPr>
      <w:r w:rsidRPr="00D84768">
        <w:rPr>
          <w:rFonts w:ascii="Palatino Linotype" w:hAnsi="Palatino Linotype" w:cs="Arial"/>
          <w:b/>
        </w:rPr>
        <w:t>Quinto. Gírese</w:t>
      </w:r>
      <w:r w:rsidRPr="00D84768">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A8ED0C2" w14:textId="4BF02138" w:rsidR="00EC78B5" w:rsidRPr="00D84768" w:rsidRDefault="00EC78B5" w:rsidP="00EC78B5">
      <w:pPr>
        <w:spacing w:before="240" w:after="240" w:line="360" w:lineRule="auto"/>
        <w:jc w:val="both"/>
        <w:rPr>
          <w:rFonts w:ascii="Palatino Linotype" w:hAnsi="Palatino Linotype"/>
        </w:rPr>
      </w:pPr>
      <w:r w:rsidRPr="00D8476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BE4452">
        <w:rPr>
          <w:rFonts w:ascii="Palatino Linotype" w:hAnsi="Palatino Linotype"/>
        </w:rPr>
        <w:t>, EMITIENDO VOTO PARTICULAR</w:t>
      </w:r>
      <w:r w:rsidRPr="00D84768">
        <w:rPr>
          <w:rFonts w:ascii="Palatino Linotype" w:hAnsi="Palatino Linotype"/>
        </w:rPr>
        <w:t xml:space="preserve">; JAVIER MARTÍNEZ CRUZ Y LUIS GUSTAVO PARRA NORIEGA; EN LA </w:t>
      </w:r>
      <w:r w:rsidR="00BE4452">
        <w:rPr>
          <w:rFonts w:ascii="Palatino Linotype" w:hAnsi="Palatino Linotype"/>
        </w:rPr>
        <w:t>CUARTA</w:t>
      </w:r>
      <w:r w:rsidR="00E57A3C" w:rsidRPr="00D84768">
        <w:rPr>
          <w:rFonts w:ascii="Palatino Linotype" w:hAnsi="Palatino Linotype"/>
        </w:rPr>
        <w:t xml:space="preserve"> </w:t>
      </w:r>
      <w:r w:rsidRPr="00D84768">
        <w:rPr>
          <w:rFonts w:ascii="Palatino Linotype" w:hAnsi="Palatino Linotype"/>
        </w:rPr>
        <w:t xml:space="preserve">SESIÓN ORDINARIA CELEBRADA EL </w:t>
      </w:r>
      <w:r w:rsidR="004C6658">
        <w:rPr>
          <w:rFonts w:ascii="Palatino Linotype" w:hAnsi="Palatino Linotype"/>
        </w:rPr>
        <w:t xml:space="preserve">TREINTA </w:t>
      </w:r>
      <w:r w:rsidRPr="00D84768">
        <w:rPr>
          <w:rFonts w:ascii="Palatino Linotype" w:hAnsi="Palatino Linotype"/>
        </w:rPr>
        <w:t xml:space="preserve">DE </w:t>
      </w:r>
      <w:r w:rsidR="00CA234B" w:rsidRPr="00D84768">
        <w:rPr>
          <w:rFonts w:ascii="Palatino Linotype" w:hAnsi="Palatino Linotype"/>
        </w:rPr>
        <w:t>ENERO DE DOS MIL DIECINUEVE</w:t>
      </w:r>
      <w:r w:rsidRPr="00D84768">
        <w:rPr>
          <w:rFonts w:ascii="Palatino Linotype" w:hAnsi="Palatino Linotype"/>
        </w:rPr>
        <w:t>, ANTE EL SECRETARIO TÉCNICO DEL PLENO ALEXIS TAPIA RAMÍREZ.</w:t>
      </w:r>
    </w:p>
    <w:p w14:paraId="53EB91BF" w14:textId="77777777" w:rsidR="00EC78B5" w:rsidRDefault="00EC78B5" w:rsidP="00EC78B5">
      <w:pPr>
        <w:spacing w:before="240" w:after="240" w:line="360" w:lineRule="auto"/>
        <w:jc w:val="both"/>
        <w:rPr>
          <w:rFonts w:ascii="Palatino Linotype" w:hAnsi="Palatino Linotype" w:cs="Arial"/>
        </w:rPr>
      </w:pPr>
    </w:p>
    <w:p w14:paraId="0D5A8739" w14:textId="77777777" w:rsidR="00BE4452" w:rsidRDefault="00BE4452" w:rsidP="00EC78B5">
      <w:pPr>
        <w:spacing w:before="240" w:after="240" w:line="360" w:lineRule="auto"/>
        <w:jc w:val="both"/>
        <w:rPr>
          <w:rFonts w:ascii="Palatino Linotype" w:hAnsi="Palatino Linotype" w:cs="Arial"/>
        </w:rPr>
      </w:pPr>
    </w:p>
    <w:p w14:paraId="650257F1" w14:textId="77777777" w:rsidR="00BE4452" w:rsidRPr="00D84768" w:rsidRDefault="00BE4452" w:rsidP="00EC78B5">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EC78B5" w:rsidRPr="00D84768" w14:paraId="1E7DEB3D" w14:textId="77777777" w:rsidTr="00CD1A76">
        <w:trPr>
          <w:trHeight w:val="730"/>
        </w:trPr>
        <w:tc>
          <w:tcPr>
            <w:tcW w:w="5000" w:type="pct"/>
            <w:gridSpan w:val="2"/>
          </w:tcPr>
          <w:p w14:paraId="0F431C30"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Zulema Martínez Sánchez</w:t>
            </w:r>
            <w:r w:rsidRPr="00D84768">
              <w:rPr>
                <w:rFonts w:ascii="Palatino Linotype" w:hAnsi="Palatino Linotype" w:cs="Arial"/>
              </w:rPr>
              <w:t xml:space="preserve"> </w:t>
            </w:r>
          </w:p>
          <w:p w14:paraId="1C9D2213" w14:textId="77777777" w:rsidR="00EC78B5" w:rsidRPr="00D84768" w:rsidRDefault="00EC78B5" w:rsidP="00CD1A76">
            <w:pPr>
              <w:jc w:val="center"/>
              <w:rPr>
                <w:rFonts w:ascii="Palatino Linotype" w:hAnsi="Palatino Linotype" w:cs="Arial"/>
              </w:rPr>
            </w:pPr>
            <w:r w:rsidRPr="00D84768">
              <w:rPr>
                <w:rFonts w:ascii="Palatino Linotype" w:hAnsi="Palatino Linotype" w:cs="Arial"/>
              </w:rPr>
              <w:t>Comisionada Presidenta</w:t>
            </w:r>
          </w:p>
          <w:p w14:paraId="5330F510" w14:textId="32155289" w:rsidR="00EC78B5" w:rsidRDefault="00EC78B5" w:rsidP="00CD1A76">
            <w:pPr>
              <w:jc w:val="center"/>
              <w:rPr>
                <w:rFonts w:ascii="Palatino Linotype" w:hAnsi="Palatino Linotype" w:cs="Arial"/>
              </w:rPr>
            </w:pPr>
          </w:p>
          <w:p w14:paraId="27DC1977" w14:textId="77777777" w:rsidR="00BE4452" w:rsidRDefault="00BE4452" w:rsidP="00CD1A76">
            <w:pPr>
              <w:jc w:val="center"/>
              <w:rPr>
                <w:rFonts w:ascii="Palatino Linotype" w:hAnsi="Palatino Linotype" w:cs="Arial"/>
              </w:rPr>
            </w:pPr>
          </w:p>
          <w:p w14:paraId="41C9B2C3" w14:textId="77777777" w:rsidR="00BE4452" w:rsidRPr="00D84768" w:rsidRDefault="00BE4452" w:rsidP="00CD1A76">
            <w:pPr>
              <w:jc w:val="center"/>
              <w:rPr>
                <w:rFonts w:ascii="Palatino Linotype" w:hAnsi="Palatino Linotype" w:cs="Arial"/>
              </w:rPr>
            </w:pPr>
          </w:p>
          <w:p w14:paraId="18364F91" w14:textId="77777777" w:rsidR="00EC78B5" w:rsidRPr="00D84768" w:rsidRDefault="00EC78B5" w:rsidP="00CD1A76">
            <w:pPr>
              <w:rPr>
                <w:rFonts w:ascii="Palatino Linotype" w:hAnsi="Palatino Linotype" w:cs="Arial"/>
              </w:rPr>
            </w:pPr>
          </w:p>
          <w:p w14:paraId="76971E9A" w14:textId="77777777" w:rsidR="00EC78B5" w:rsidRPr="00D84768" w:rsidRDefault="00EC78B5" w:rsidP="00CD1A76">
            <w:pPr>
              <w:rPr>
                <w:rFonts w:ascii="Palatino Linotype" w:hAnsi="Palatino Linotype" w:cs="Arial"/>
              </w:rPr>
            </w:pPr>
          </w:p>
        </w:tc>
      </w:tr>
      <w:tr w:rsidR="00EC78B5" w:rsidRPr="00D84768" w14:paraId="4C20DDE6" w14:textId="77777777" w:rsidTr="00CD1A76">
        <w:trPr>
          <w:trHeight w:val="714"/>
        </w:trPr>
        <w:tc>
          <w:tcPr>
            <w:tcW w:w="2385" w:type="pct"/>
          </w:tcPr>
          <w:p w14:paraId="5FB64F36" w14:textId="77777777" w:rsidR="00EC78B5" w:rsidRPr="00D84768" w:rsidRDefault="00EC78B5" w:rsidP="00CD1A76">
            <w:pPr>
              <w:jc w:val="center"/>
              <w:rPr>
                <w:rFonts w:ascii="Palatino Linotype" w:hAnsi="Palatino Linotype" w:cs="Arial"/>
                <w:b/>
              </w:rPr>
            </w:pPr>
          </w:p>
          <w:p w14:paraId="78A0E138" w14:textId="77777777" w:rsidR="00CA234B" w:rsidRDefault="00CA234B" w:rsidP="00CD1A76">
            <w:pPr>
              <w:jc w:val="center"/>
              <w:rPr>
                <w:rFonts w:ascii="Palatino Linotype" w:hAnsi="Palatino Linotype" w:cs="Arial"/>
                <w:b/>
              </w:rPr>
            </w:pPr>
          </w:p>
          <w:p w14:paraId="35E8323D" w14:textId="77777777" w:rsidR="00BE4452" w:rsidRPr="00D84768" w:rsidRDefault="00BE4452" w:rsidP="00CD1A76">
            <w:pPr>
              <w:jc w:val="center"/>
              <w:rPr>
                <w:rFonts w:ascii="Palatino Linotype" w:hAnsi="Palatino Linotype" w:cs="Arial"/>
                <w:b/>
              </w:rPr>
            </w:pPr>
          </w:p>
          <w:p w14:paraId="7009B277"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Eva Abaid Yapur</w:t>
            </w:r>
          </w:p>
          <w:p w14:paraId="3F1075FE" w14:textId="77777777" w:rsidR="00EC78B5" w:rsidRPr="00D84768" w:rsidRDefault="00EC78B5" w:rsidP="00CD1A76">
            <w:pPr>
              <w:jc w:val="center"/>
              <w:rPr>
                <w:rFonts w:ascii="Palatino Linotype" w:hAnsi="Palatino Linotype" w:cs="Arial"/>
              </w:rPr>
            </w:pPr>
            <w:r w:rsidRPr="00D84768">
              <w:rPr>
                <w:rFonts w:ascii="Palatino Linotype" w:hAnsi="Palatino Linotype" w:cs="Arial"/>
              </w:rPr>
              <w:t>Comisionada</w:t>
            </w:r>
          </w:p>
          <w:p w14:paraId="0042611D" w14:textId="77777777" w:rsidR="00EC78B5" w:rsidRPr="00D84768" w:rsidRDefault="00EC78B5" w:rsidP="007D5011">
            <w:pPr>
              <w:jc w:val="center"/>
              <w:rPr>
                <w:rFonts w:ascii="Palatino Linotype" w:hAnsi="Palatino Linotype" w:cs="Arial"/>
              </w:rPr>
            </w:pPr>
          </w:p>
        </w:tc>
        <w:tc>
          <w:tcPr>
            <w:tcW w:w="2615" w:type="pct"/>
          </w:tcPr>
          <w:p w14:paraId="0D945108" w14:textId="77777777" w:rsidR="00EC78B5" w:rsidRDefault="00EC78B5" w:rsidP="00CD1A76">
            <w:pPr>
              <w:jc w:val="center"/>
              <w:rPr>
                <w:rFonts w:ascii="Palatino Linotype" w:hAnsi="Palatino Linotype" w:cs="Arial"/>
                <w:b/>
              </w:rPr>
            </w:pPr>
          </w:p>
          <w:p w14:paraId="25F4A845" w14:textId="77777777" w:rsidR="00BE4452" w:rsidRPr="00D84768" w:rsidRDefault="00BE4452" w:rsidP="00CD1A76">
            <w:pPr>
              <w:jc w:val="center"/>
              <w:rPr>
                <w:rFonts w:ascii="Palatino Linotype" w:hAnsi="Palatino Linotype" w:cs="Arial"/>
                <w:b/>
              </w:rPr>
            </w:pPr>
          </w:p>
          <w:p w14:paraId="1C5B60E5" w14:textId="77777777" w:rsidR="00CA234B" w:rsidRPr="00D84768" w:rsidRDefault="00CA234B" w:rsidP="00CD1A76">
            <w:pPr>
              <w:jc w:val="center"/>
              <w:rPr>
                <w:rFonts w:ascii="Palatino Linotype" w:hAnsi="Palatino Linotype" w:cs="Arial"/>
                <w:b/>
              </w:rPr>
            </w:pPr>
          </w:p>
          <w:p w14:paraId="0DF56995"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José Guadalupe Luna Hernández</w:t>
            </w:r>
          </w:p>
          <w:p w14:paraId="1AE03719" w14:textId="77777777" w:rsidR="00EC78B5" w:rsidRPr="00D84768" w:rsidRDefault="00EC78B5" w:rsidP="00CD1A76">
            <w:pPr>
              <w:jc w:val="center"/>
              <w:rPr>
                <w:rFonts w:ascii="Palatino Linotype" w:hAnsi="Palatino Linotype" w:cs="Arial"/>
              </w:rPr>
            </w:pPr>
            <w:r w:rsidRPr="00D84768">
              <w:rPr>
                <w:rFonts w:ascii="Palatino Linotype" w:hAnsi="Palatino Linotype" w:cs="Arial"/>
              </w:rPr>
              <w:t>Comisionado</w:t>
            </w:r>
          </w:p>
          <w:p w14:paraId="28F6E3C4" w14:textId="29286EE3" w:rsidR="00E57A3C" w:rsidRPr="00D84768" w:rsidRDefault="00E57A3C" w:rsidP="00E57A3C">
            <w:pPr>
              <w:jc w:val="center"/>
              <w:rPr>
                <w:rFonts w:ascii="Palatino Linotype" w:hAnsi="Palatino Linotype" w:cs="Arial"/>
              </w:rPr>
            </w:pPr>
          </w:p>
          <w:p w14:paraId="26AE75E0" w14:textId="2E7737F1" w:rsidR="00EC78B5" w:rsidRPr="00D84768" w:rsidRDefault="00EC78B5" w:rsidP="00CD1A76">
            <w:pPr>
              <w:jc w:val="center"/>
              <w:rPr>
                <w:rFonts w:ascii="Palatino Linotype" w:hAnsi="Palatino Linotype" w:cs="Arial"/>
              </w:rPr>
            </w:pPr>
          </w:p>
          <w:p w14:paraId="0DECEA45" w14:textId="77777777" w:rsidR="00EC78B5" w:rsidRPr="00D84768" w:rsidRDefault="00EC78B5" w:rsidP="00CD1A76">
            <w:pPr>
              <w:jc w:val="center"/>
              <w:rPr>
                <w:rFonts w:ascii="Palatino Linotype" w:hAnsi="Palatino Linotype" w:cs="Arial"/>
              </w:rPr>
            </w:pPr>
          </w:p>
          <w:p w14:paraId="2EA9E9D9" w14:textId="77777777" w:rsidR="00FD135C" w:rsidRPr="00D84768" w:rsidRDefault="00FD135C" w:rsidP="00BE4452">
            <w:pPr>
              <w:rPr>
                <w:rFonts w:ascii="Palatino Linotype" w:hAnsi="Palatino Linotype" w:cs="Arial"/>
              </w:rPr>
            </w:pPr>
          </w:p>
          <w:p w14:paraId="477D06BE" w14:textId="77777777" w:rsidR="00FD135C" w:rsidRPr="00D84768" w:rsidRDefault="00FD135C" w:rsidP="00CD1A76">
            <w:pPr>
              <w:jc w:val="center"/>
              <w:rPr>
                <w:rFonts w:ascii="Palatino Linotype" w:hAnsi="Palatino Linotype" w:cs="Arial"/>
              </w:rPr>
            </w:pPr>
          </w:p>
          <w:p w14:paraId="54E40F04" w14:textId="77777777" w:rsidR="00CA234B" w:rsidRPr="00D84768" w:rsidRDefault="00CA234B" w:rsidP="00CD1A76">
            <w:pPr>
              <w:jc w:val="center"/>
              <w:rPr>
                <w:rFonts w:ascii="Palatino Linotype" w:hAnsi="Palatino Linotype" w:cs="Arial"/>
              </w:rPr>
            </w:pPr>
          </w:p>
        </w:tc>
      </w:tr>
      <w:tr w:rsidR="00EC78B5" w:rsidRPr="00D84768" w14:paraId="57F95126" w14:textId="77777777" w:rsidTr="00CD1A76">
        <w:trPr>
          <w:trHeight w:val="2308"/>
        </w:trPr>
        <w:tc>
          <w:tcPr>
            <w:tcW w:w="2385" w:type="pct"/>
            <w:hideMark/>
          </w:tcPr>
          <w:p w14:paraId="23EDAB68" w14:textId="77777777" w:rsidR="00EC78B5" w:rsidRPr="00D84768" w:rsidRDefault="00EC78B5" w:rsidP="00CD1A76">
            <w:pPr>
              <w:jc w:val="center"/>
              <w:rPr>
                <w:rFonts w:ascii="Palatino Linotype" w:hAnsi="Palatino Linotype" w:cs="Arial"/>
                <w:b/>
              </w:rPr>
            </w:pPr>
          </w:p>
          <w:p w14:paraId="27FB4261" w14:textId="77777777" w:rsidR="00CA234B" w:rsidRPr="00D84768" w:rsidRDefault="00CA234B" w:rsidP="00CD1A76">
            <w:pPr>
              <w:jc w:val="center"/>
              <w:rPr>
                <w:rFonts w:ascii="Palatino Linotype" w:hAnsi="Palatino Linotype" w:cs="Arial"/>
                <w:b/>
              </w:rPr>
            </w:pPr>
          </w:p>
          <w:p w14:paraId="6FD56901" w14:textId="77777777" w:rsidR="00EC78B5" w:rsidRPr="00D84768" w:rsidRDefault="00EC78B5" w:rsidP="00CD1A76">
            <w:pPr>
              <w:jc w:val="center"/>
              <w:rPr>
                <w:rFonts w:ascii="Palatino Linotype" w:hAnsi="Palatino Linotype" w:cs="Arial"/>
                <w:b/>
              </w:rPr>
            </w:pPr>
          </w:p>
          <w:p w14:paraId="692A3C5A"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Javier Martínez Cruz</w:t>
            </w:r>
          </w:p>
          <w:p w14:paraId="145A459B" w14:textId="77777777" w:rsidR="00EC78B5" w:rsidRPr="00D84768" w:rsidRDefault="00EC78B5" w:rsidP="00CD1A76">
            <w:pPr>
              <w:jc w:val="center"/>
              <w:rPr>
                <w:rFonts w:ascii="Palatino Linotype" w:hAnsi="Palatino Linotype" w:cs="Arial"/>
              </w:rPr>
            </w:pPr>
            <w:r w:rsidRPr="00D84768">
              <w:rPr>
                <w:rFonts w:ascii="Palatino Linotype" w:hAnsi="Palatino Linotype" w:cs="Arial"/>
              </w:rPr>
              <w:t>Comisionado</w:t>
            </w:r>
          </w:p>
          <w:p w14:paraId="662CF6EA" w14:textId="3DEE89BC" w:rsidR="00EC78B5" w:rsidRPr="00D84768" w:rsidRDefault="00EC78B5" w:rsidP="00CD1A76">
            <w:pPr>
              <w:jc w:val="center"/>
              <w:rPr>
                <w:rFonts w:ascii="Palatino Linotype" w:hAnsi="Palatino Linotype" w:cs="Arial"/>
              </w:rPr>
            </w:pPr>
          </w:p>
          <w:p w14:paraId="66096445" w14:textId="77777777" w:rsidR="00EC78B5" w:rsidRPr="00D84768" w:rsidRDefault="00EC78B5" w:rsidP="00CD1A76">
            <w:pPr>
              <w:jc w:val="center"/>
              <w:rPr>
                <w:rFonts w:ascii="Palatino Linotype" w:hAnsi="Palatino Linotype" w:cs="Arial"/>
              </w:rPr>
            </w:pPr>
          </w:p>
          <w:p w14:paraId="227889DB" w14:textId="77777777" w:rsidR="00FD135C" w:rsidRPr="00D84768" w:rsidRDefault="00FD135C" w:rsidP="00CD1A76">
            <w:pPr>
              <w:jc w:val="center"/>
              <w:rPr>
                <w:rFonts w:ascii="Palatino Linotype" w:hAnsi="Palatino Linotype" w:cs="Arial"/>
              </w:rPr>
            </w:pPr>
          </w:p>
          <w:p w14:paraId="054D6071" w14:textId="77777777" w:rsidR="00FD135C" w:rsidRPr="00D84768" w:rsidRDefault="00FD135C" w:rsidP="00CD1A76">
            <w:pPr>
              <w:jc w:val="center"/>
              <w:rPr>
                <w:rFonts w:ascii="Palatino Linotype" w:hAnsi="Palatino Linotype" w:cs="Arial"/>
              </w:rPr>
            </w:pPr>
          </w:p>
          <w:p w14:paraId="04798647" w14:textId="77777777" w:rsidR="00FD135C" w:rsidRPr="00D84768" w:rsidRDefault="00FD135C" w:rsidP="00CD1A76">
            <w:pPr>
              <w:jc w:val="center"/>
              <w:rPr>
                <w:rFonts w:ascii="Palatino Linotype" w:hAnsi="Palatino Linotype" w:cs="Arial"/>
              </w:rPr>
            </w:pPr>
          </w:p>
          <w:p w14:paraId="11588F2C" w14:textId="77777777" w:rsidR="00EC78B5" w:rsidRPr="00D84768" w:rsidRDefault="00EC78B5" w:rsidP="00CD1A76">
            <w:pPr>
              <w:jc w:val="center"/>
              <w:rPr>
                <w:rFonts w:ascii="Palatino Linotype" w:hAnsi="Palatino Linotype" w:cs="Arial"/>
              </w:rPr>
            </w:pPr>
          </w:p>
        </w:tc>
        <w:tc>
          <w:tcPr>
            <w:tcW w:w="2615" w:type="pct"/>
          </w:tcPr>
          <w:p w14:paraId="0D79583D" w14:textId="77777777" w:rsidR="00EC78B5" w:rsidRPr="00D84768" w:rsidRDefault="00EC78B5" w:rsidP="00CD1A76">
            <w:pPr>
              <w:jc w:val="center"/>
              <w:rPr>
                <w:rFonts w:ascii="Palatino Linotype" w:hAnsi="Palatino Linotype" w:cs="Arial"/>
              </w:rPr>
            </w:pPr>
          </w:p>
          <w:p w14:paraId="7CFD999E" w14:textId="77777777" w:rsidR="00CA234B" w:rsidRPr="00D84768" w:rsidRDefault="00CA234B" w:rsidP="00CD1A76">
            <w:pPr>
              <w:jc w:val="center"/>
              <w:rPr>
                <w:rFonts w:ascii="Palatino Linotype" w:hAnsi="Palatino Linotype" w:cs="Arial"/>
              </w:rPr>
            </w:pPr>
          </w:p>
          <w:p w14:paraId="033ADA0E" w14:textId="77777777" w:rsidR="00EC78B5" w:rsidRPr="00D84768" w:rsidRDefault="00EC78B5" w:rsidP="00CD1A76">
            <w:pPr>
              <w:jc w:val="center"/>
              <w:rPr>
                <w:rFonts w:ascii="Palatino Linotype" w:hAnsi="Palatino Linotype" w:cs="Arial"/>
              </w:rPr>
            </w:pPr>
          </w:p>
          <w:p w14:paraId="03CBFFEA"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Luis Gustavo Parra Noriega</w:t>
            </w:r>
          </w:p>
          <w:p w14:paraId="442569A9" w14:textId="77777777" w:rsidR="00EC78B5" w:rsidRPr="00D84768" w:rsidRDefault="00EC78B5" w:rsidP="00CD1A76">
            <w:pPr>
              <w:jc w:val="center"/>
              <w:rPr>
                <w:rFonts w:ascii="Palatino Linotype" w:hAnsi="Palatino Linotype" w:cs="Arial"/>
              </w:rPr>
            </w:pPr>
            <w:r w:rsidRPr="00D84768">
              <w:rPr>
                <w:rFonts w:ascii="Palatino Linotype" w:hAnsi="Palatino Linotype" w:cs="Arial"/>
              </w:rPr>
              <w:t>Comisionado</w:t>
            </w:r>
          </w:p>
          <w:p w14:paraId="050EE3F0" w14:textId="2BBCC95F" w:rsidR="00E57A3C" w:rsidRPr="00D84768" w:rsidRDefault="00E57A3C" w:rsidP="00E57A3C">
            <w:pPr>
              <w:jc w:val="center"/>
              <w:rPr>
                <w:rFonts w:ascii="Palatino Linotype" w:hAnsi="Palatino Linotype" w:cs="Arial"/>
              </w:rPr>
            </w:pPr>
          </w:p>
          <w:p w14:paraId="6A5344F6" w14:textId="703BC028" w:rsidR="00EC78B5" w:rsidRPr="00D84768" w:rsidRDefault="00EC78B5" w:rsidP="00CD1A76">
            <w:pPr>
              <w:jc w:val="center"/>
              <w:rPr>
                <w:rFonts w:ascii="Palatino Linotype" w:hAnsi="Palatino Linotype" w:cs="Arial"/>
              </w:rPr>
            </w:pPr>
          </w:p>
          <w:p w14:paraId="1789745A" w14:textId="77777777" w:rsidR="00EC78B5" w:rsidRPr="00D84768" w:rsidRDefault="00EC78B5" w:rsidP="00CD1A76">
            <w:pPr>
              <w:rPr>
                <w:rFonts w:ascii="Palatino Linotype" w:hAnsi="Palatino Linotype" w:cs="Arial"/>
              </w:rPr>
            </w:pPr>
          </w:p>
          <w:p w14:paraId="71DBB615" w14:textId="77777777" w:rsidR="00EC78B5" w:rsidRDefault="00EC78B5" w:rsidP="00CD1A76">
            <w:pPr>
              <w:rPr>
                <w:rFonts w:ascii="Palatino Linotype" w:hAnsi="Palatino Linotype" w:cs="Arial"/>
              </w:rPr>
            </w:pPr>
          </w:p>
          <w:p w14:paraId="0F415227" w14:textId="77777777" w:rsidR="00BE4452" w:rsidRPr="00D84768" w:rsidRDefault="00BE4452" w:rsidP="00CD1A76">
            <w:pPr>
              <w:rPr>
                <w:rFonts w:ascii="Palatino Linotype" w:hAnsi="Palatino Linotype" w:cs="Arial"/>
              </w:rPr>
            </w:pPr>
          </w:p>
        </w:tc>
      </w:tr>
      <w:tr w:rsidR="00EC78B5" w:rsidRPr="00D84768" w14:paraId="35C62344" w14:textId="77777777" w:rsidTr="00CD1A76">
        <w:trPr>
          <w:trHeight w:val="847"/>
        </w:trPr>
        <w:tc>
          <w:tcPr>
            <w:tcW w:w="5000" w:type="pct"/>
            <w:gridSpan w:val="2"/>
          </w:tcPr>
          <w:p w14:paraId="12AAF460" w14:textId="77777777" w:rsidR="00EC78B5" w:rsidRPr="00D84768" w:rsidRDefault="00EC78B5" w:rsidP="00CD1A76">
            <w:pPr>
              <w:jc w:val="center"/>
              <w:rPr>
                <w:rFonts w:ascii="Palatino Linotype" w:hAnsi="Palatino Linotype" w:cs="Arial"/>
                <w:b/>
              </w:rPr>
            </w:pPr>
            <w:r w:rsidRPr="00D84768">
              <w:rPr>
                <w:rFonts w:ascii="Palatino Linotype" w:hAnsi="Palatino Linotype" w:cs="Arial"/>
                <w:b/>
              </w:rPr>
              <w:t>Alexis Tapia Ramírez</w:t>
            </w:r>
          </w:p>
          <w:p w14:paraId="436DCAFC" w14:textId="77777777" w:rsidR="00EC78B5" w:rsidRPr="00D84768" w:rsidRDefault="00EC78B5" w:rsidP="00CD1A76">
            <w:pPr>
              <w:tabs>
                <w:tab w:val="left" w:pos="780"/>
                <w:tab w:val="center" w:pos="4499"/>
              </w:tabs>
              <w:jc w:val="center"/>
              <w:rPr>
                <w:rFonts w:ascii="Palatino Linotype" w:hAnsi="Palatino Linotype" w:cs="Arial"/>
              </w:rPr>
            </w:pPr>
            <w:r w:rsidRPr="00D84768">
              <w:rPr>
                <w:rFonts w:ascii="Palatino Linotype" w:hAnsi="Palatino Linotype" w:cs="Arial"/>
              </w:rPr>
              <w:t>Secretario Técnico del Pleno</w:t>
            </w:r>
          </w:p>
          <w:p w14:paraId="274B2377" w14:textId="26922BDB" w:rsidR="00E57A3C" w:rsidRPr="00D84768" w:rsidRDefault="00E57A3C" w:rsidP="00E57A3C">
            <w:pPr>
              <w:jc w:val="center"/>
              <w:rPr>
                <w:rFonts w:ascii="Palatino Linotype" w:hAnsi="Palatino Linotype" w:cs="Arial"/>
              </w:rPr>
            </w:pPr>
          </w:p>
          <w:p w14:paraId="661103A8" w14:textId="01B3763F" w:rsidR="00EC78B5" w:rsidRPr="00D84768" w:rsidRDefault="00EC78B5" w:rsidP="00CD1A76">
            <w:pPr>
              <w:jc w:val="center"/>
              <w:rPr>
                <w:rFonts w:ascii="Palatino Linotype" w:hAnsi="Palatino Linotype" w:cs="Arial"/>
              </w:rPr>
            </w:pPr>
          </w:p>
        </w:tc>
      </w:tr>
    </w:tbl>
    <w:p w14:paraId="75064DDD" w14:textId="77777777" w:rsidR="00CA234B" w:rsidRPr="00D84768" w:rsidRDefault="00CA234B" w:rsidP="00EC78B5">
      <w:pPr>
        <w:jc w:val="both"/>
        <w:rPr>
          <w:rFonts w:ascii="Palatino Linotype" w:hAnsi="Palatino Linotype" w:cs="Arial"/>
          <w:sz w:val="18"/>
          <w:szCs w:val="18"/>
        </w:rPr>
      </w:pPr>
    </w:p>
    <w:p w14:paraId="0DE60236" w14:textId="77777777" w:rsidR="00CA234B" w:rsidRPr="00D84768" w:rsidRDefault="00CA234B" w:rsidP="00EC78B5">
      <w:pPr>
        <w:jc w:val="both"/>
        <w:rPr>
          <w:rFonts w:ascii="Palatino Linotype" w:hAnsi="Palatino Linotype" w:cs="Arial"/>
          <w:sz w:val="18"/>
          <w:szCs w:val="18"/>
        </w:rPr>
      </w:pPr>
    </w:p>
    <w:p w14:paraId="4BEF8CE3" w14:textId="77777777" w:rsidR="00CA234B" w:rsidRPr="00D84768" w:rsidRDefault="00CA234B" w:rsidP="00EC78B5">
      <w:pPr>
        <w:jc w:val="both"/>
        <w:rPr>
          <w:rFonts w:ascii="Palatino Linotype" w:hAnsi="Palatino Linotype" w:cs="Arial"/>
          <w:sz w:val="18"/>
          <w:szCs w:val="18"/>
        </w:rPr>
      </w:pPr>
    </w:p>
    <w:p w14:paraId="0D43BC60" w14:textId="5DE04583" w:rsidR="00EC78B5" w:rsidRPr="00076FA4" w:rsidRDefault="00EC78B5" w:rsidP="00EC78B5">
      <w:pPr>
        <w:jc w:val="both"/>
        <w:rPr>
          <w:rFonts w:ascii="Palatino Linotype" w:hAnsi="Palatino Linotype" w:cs="Arial"/>
          <w:sz w:val="18"/>
          <w:szCs w:val="18"/>
        </w:rPr>
      </w:pPr>
      <w:r w:rsidRPr="00D84768">
        <w:rPr>
          <w:rFonts w:ascii="Palatino Linotype" w:hAnsi="Palatino Linotype" w:cs="Arial"/>
          <w:sz w:val="18"/>
          <w:szCs w:val="18"/>
        </w:rPr>
        <w:t>Esta hoja c</w:t>
      </w:r>
      <w:r w:rsidR="00CA234B" w:rsidRPr="00D84768">
        <w:rPr>
          <w:rFonts w:ascii="Palatino Linotype" w:hAnsi="Palatino Linotype" w:cs="Arial"/>
          <w:sz w:val="18"/>
          <w:szCs w:val="18"/>
        </w:rPr>
        <w:t xml:space="preserve">orresponde a la resolución del </w:t>
      </w:r>
      <w:r w:rsidR="00BE4452">
        <w:rPr>
          <w:rFonts w:ascii="Palatino Linotype" w:hAnsi="Palatino Linotype" w:cs="Arial"/>
          <w:sz w:val="18"/>
          <w:szCs w:val="18"/>
        </w:rPr>
        <w:t xml:space="preserve">treinta </w:t>
      </w:r>
      <w:r w:rsidRPr="00D84768">
        <w:rPr>
          <w:rFonts w:ascii="Palatino Linotype" w:hAnsi="Palatino Linotype" w:cs="Arial"/>
          <w:sz w:val="18"/>
          <w:szCs w:val="18"/>
        </w:rPr>
        <w:t xml:space="preserve">de </w:t>
      </w:r>
      <w:r w:rsidR="00CA234B" w:rsidRPr="00D84768">
        <w:rPr>
          <w:rFonts w:ascii="Palatino Linotype" w:hAnsi="Palatino Linotype" w:cs="Arial"/>
          <w:sz w:val="18"/>
          <w:szCs w:val="18"/>
        </w:rPr>
        <w:t>enero de dos mil diecinueve</w:t>
      </w:r>
      <w:r w:rsidR="004C6658">
        <w:rPr>
          <w:rFonts w:ascii="Palatino Linotype" w:hAnsi="Palatino Linotype" w:cs="Arial"/>
          <w:sz w:val="18"/>
          <w:szCs w:val="18"/>
        </w:rPr>
        <w:t>, emitida en el</w:t>
      </w:r>
      <w:r w:rsidRPr="00D84768">
        <w:rPr>
          <w:rFonts w:ascii="Palatino Linotype" w:hAnsi="Palatino Linotype" w:cs="Arial"/>
          <w:sz w:val="18"/>
          <w:szCs w:val="18"/>
        </w:rPr>
        <w:t xml:space="preserve"> recurso de revisión </w:t>
      </w:r>
      <w:r w:rsidR="00E57A3C" w:rsidRPr="00D84768">
        <w:rPr>
          <w:rFonts w:ascii="Palatino Linotype" w:hAnsi="Palatino Linotype" w:cs="Arial"/>
          <w:b/>
          <w:bCs/>
          <w:sz w:val="18"/>
          <w:szCs w:val="18"/>
        </w:rPr>
        <w:t>0457</w:t>
      </w:r>
      <w:r w:rsidR="00CA234B" w:rsidRPr="00D84768">
        <w:rPr>
          <w:rFonts w:ascii="Palatino Linotype" w:hAnsi="Palatino Linotype" w:cs="Arial"/>
          <w:b/>
          <w:bCs/>
          <w:sz w:val="18"/>
          <w:szCs w:val="18"/>
        </w:rPr>
        <w:t>4</w:t>
      </w:r>
      <w:r w:rsidRPr="00D84768">
        <w:rPr>
          <w:rFonts w:ascii="Palatino Linotype" w:hAnsi="Palatino Linotype" w:cs="Arial"/>
          <w:b/>
          <w:bCs/>
          <w:sz w:val="18"/>
          <w:szCs w:val="18"/>
        </w:rPr>
        <w:t>/INFOEM/IP/RR/2018.</w:t>
      </w:r>
    </w:p>
    <w:p w14:paraId="10CBEEA4" w14:textId="77777777" w:rsidR="00EC78B5" w:rsidRPr="002935B2" w:rsidRDefault="00EC78B5" w:rsidP="008B6033">
      <w:pPr>
        <w:spacing w:before="240" w:after="240" w:line="360" w:lineRule="auto"/>
        <w:jc w:val="both"/>
        <w:rPr>
          <w:rFonts w:ascii="Palatino Linotype" w:hAnsi="Palatino Linotype" w:cs="Arial"/>
        </w:rPr>
      </w:pPr>
    </w:p>
    <w:sectPr w:rsidR="00EC78B5" w:rsidRPr="002935B2"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AA9F6" w14:textId="77777777" w:rsidR="00F73426" w:rsidRDefault="00F73426" w:rsidP="00C80F8C">
      <w:r>
        <w:separator/>
      </w:r>
    </w:p>
  </w:endnote>
  <w:endnote w:type="continuationSeparator" w:id="0">
    <w:p w14:paraId="6154F44E" w14:textId="77777777" w:rsidR="00F73426" w:rsidRDefault="00F734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D1A76" w:rsidRDefault="00CD1A7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0162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01627">
      <w:rPr>
        <w:rFonts w:ascii="Arial" w:hAnsi="Arial" w:cs="Arial"/>
        <w:b/>
        <w:bCs/>
        <w:noProof/>
        <w:sz w:val="20"/>
        <w:szCs w:val="20"/>
      </w:rPr>
      <w:t>38</w:t>
    </w:r>
    <w:r>
      <w:rPr>
        <w:rFonts w:ascii="Arial" w:hAnsi="Arial" w:cs="Arial"/>
        <w:b/>
        <w:bCs/>
        <w:sz w:val="20"/>
        <w:szCs w:val="20"/>
      </w:rPr>
      <w:fldChar w:fldCharType="end"/>
    </w:r>
  </w:p>
  <w:p w14:paraId="1192A578" w14:textId="77777777" w:rsidR="00CD1A76" w:rsidRDefault="00CD1A76" w:rsidP="00935A0D">
    <w:pPr>
      <w:pStyle w:val="Piedepgina"/>
      <w:rPr>
        <w:rFonts w:ascii="Times New Roman" w:hAnsi="Times New Roman" w:cs="Times New Roman"/>
      </w:rPr>
    </w:pPr>
  </w:p>
  <w:p w14:paraId="14A770F8" w14:textId="77777777" w:rsidR="00CD1A76" w:rsidRDefault="00CD1A7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D1A76" w:rsidRDefault="00CD1A7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0162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01627">
      <w:rPr>
        <w:rFonts w:ascii="Arial" w:hAnsi="Arial" w:cs="Arial"/>
        <w:b/>
        <w:bCs/>
        <w:noProof/>
        <w:sz w:val="20"/>
        <w:szCs w:val="20"/>
      </w:rPr>
      <w:t>38</w:t>
    </w:r>
    <w:r>
      <w:rPr>
        <w:rFonts w:ascii="Arial" w:hAnsi="Arial" w:cs="Arial"/>
        <w:b/>
        <w:bCs/>
        <w:sz w:val="20"/>
        <w:szCs w:val="20"/>
      </w:rPr>
      <w:fldChar w:fldCharType="end"/>
    </w:r>
  </w:p>
  <w:p w14:paraId="5D98ABD5" w14:textId="77777777" w:rsidR="00CD1A76" w:rsidRDefault="00CD1A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F4B0" w14:textId="77777777" w:rsidR="00F73426" w:rsidRDefault="00F73426" w:rsidP="00C80F8C">
      <w:r>
        <w:separator/>
      </w:r>
    </w:p>
  </w:footnote>
  <w:footnote w:type="continuationSeparator" w:id="0">
    <w:p w14:paraId="0004D627" w14:textId="77777777" w:rsidR="00F73426" w:rsidRDefault="00F73426" w:rsidP="00C80F8C">
      <w:r>
        <w:continuationSeparator/>
      </w:r>
    </w:p>
  </w:footnote>
  <w:footnote w:id="1">
    <w:p w14:paraId="52652A6A" w14:textId="2C032C25" w:rsidR="00CD1A76" w:rsidRDefault="00CD1A76">
      <w:pPr>
        <w:pStyle w:val="Textonotapie"/>
      </w:pPr>
      <w:r>
        <w:rPr>
          <w:rStyle w:val="Refdenotaalpie"/>
        </w:rPr>
        <w:footnoteRef/>
      </w:r>
      <w:r>
        <w:t xml:space="preserve"> Artículo 4 de la </w:t>
      </w:r>
      <w:r w:rsidRPr="00BE3FC0">
        <w:rPr>
          <w:rFonts w:ascii="Palatino Linotype" w:hAnsi="Palatino Linotype"/>
        </w:rPr>
        <w:t>Ley de Transparencia y Acceso a la Información Pública del Estado de México y Municipios</w:t>
      </w:r>
      <w:r>
        <w:rPr>
          <w:rFonts w:ascii="Palatino Linotype" w:hAnsi="Palatino Linotype"/>
        </w:rPr>
        <w:t>.</w:t>
      </w:r>
    </w:p>
  </w:footnote>
  <w:footnote w:id="2">
    <w:p w14:paraId="54DE3DDF" w14:textId="2D9E04E5" w:rsidR="00CD1A76" w:rsidRDefault="00CD1A76">
      <w:pPr>
        <w:pStyle w:val="Textonotapie"/>
      </w:pPr>
      <w:r>
        <w:rPr>
          <w:rStyle w:val="Refdenotaalpie"/>
        </w:rPr>
        <w:footnoteRef/>
      </w:r>
      <w:r>
        <w:t xml:space="preserve"> Artículo 122, ibídem.</w:t>
      </w:r>
    </w:p>
  </w:footnote>
  <w:footnote w:id="3">
    <w:p w14:paraId="0B890E1F" w14:textId="0F90DBEB" w:rsidR="00CD1A76" w:rsidRDefault="00CD1A76">
      <w:pPr>
        <w:pStyle w:val="Textonotapie"/>
      </w:pPr>
      <w:r>
        <w:rPr>
          <w:rStyle w:val="Refdenotaalpie"/>
        </w:rPr>
        <w:footnoteRef/>
      </w:r>
      <w:r>
        <w:t xml:space="preserve"> Fracción XLV del artículo 3, ibídem.</w:t>
      </w:r>
    </w:p>
  </w:footnote>
  <w:footnote w:id="4">
    <w:p w14:paraId="0FD4F724" w14:textId="77777777" w:rsidR="00CD1A76" w:rsidRPr="00294275" w:rsidRDefault="00CD1A76" w:rsidP="00507ACA">
      <w:pPr>
        <w:pStyle w:val="Textonotapie"/>
        <w:rPr>
          <w:rFonts w:ascii="Palatino Linotype" w:hAnsi="Palatino Linotype"/>
          <w:sz w:val="16"/>
          <w:szCs w:val="16"/>
        </w:rPr>
      </w:pPr>
      <w:r>
        <w:rPr>
          <w:rStyle w:val="Refdenotaalpie"/>
        </w:rPr>
        <w:footnoteRef/>
      </w:r>
      <w:r>
        <w:t xml:space="preserve"> </w:t>
      </w:r>
      <w:r w:rsidRPr="00294275">
        <w:rPr>
          <w:rFonts w:ascii="Palatino Linotype" w:hAnsi="Palatino Linotype"/>
          <w:sz w:val="16"/>
          <w:szCs w:val="16"/>
        </w:rPr>
        <w:t>Artículo 13 de la Ley del Registro Público Vehicular.</w:t>
      </w:r>
    </w:p>
  </w:footnote>
  <w:footnote w:id="5">
    <w:p w14:paraId="39E48935" w14:textId="4ECBF93A" w:rsidR="00CD1A76" w:rsidRDefault="00CD1A76">
      <w:pPr>
        <w:pStyle w:val="Textonotapie"/>
      </w:pPr>
      <w:r>
        <w:rPr>
          <w:rStyle w:val="Refdenotaalpie"/>
        </w:rPr>
        <w:footnoteRef/>
      </w:r>
      <w:r>
        <w:t xml:space="preserve"> </w:t>
      </w:r>
      <w:hyperlink r:id="rId1" w:history="1">
        <w:r w:rsidRPr="00EC67F3">
          <w:rPr>
            <w:rStyle w:val="Hipervnculo"/>
          </w:rPr>
          <w:t>https://www.repuve-consulta.com.mx/niv</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CD1A76" w14:paraId="6B4E3B81" w14:textId="77777777" w:rsidTr="007E2BE8">
      <w:tc>
        <w:tcPr>
          <w:tcW w:w="2552" w:type="dxa"/>
          <w:vAlign w:val="center"/>
          <w:hideMark/>
        </w:tcPr>
        <w:p w14:paraId="0ABBC6C0" w14:textId="77777777" w:rsidR="00CD1A76" w:rsidRDefault="00CD1A76" w:rsidP="00DB48D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37F0B0E5" w:rsidR="00CD1A76" w:rsidRDefault="00CD1A76" w:rsidP="00DB48DE">
          <w:pPr>
            <w:jc w:val="both"/>
            <w:rPr>
              <w:rFonts w:ascii="Palatino Linotype" w:hAnsi="Palatino Linotype"/>
              <w:b/>
              <w:sz w:val="22"/>
              <w:szCs w:val="22"/>
              <w:lang w:val="es-ES_tradnl"/>
            </w:rPr>
          </w:pPr>
          <w:r>
            <w:rPr>
              <w:rFonts w:ascii="Palatino Linotype" w:hAnsi="Palatino Linotype"/>
              <w:b/>
              <w:sz w:val="22"/>
              <w:szCs w:val="22"/>
              <w:lang w:val="es-ES_tradnl"/>
            </w:rPr>
            <w:t>04574/INFOEM/IP/RR/2018</w:t>
          </w:r>
        </w:p>
      </w:tc>
    </w:tr>
    <w:tr w:rsidR="00CD1A76" w14:paraId="31CB780F" w14:textId="77777777" w:rsidTr="007E2BE8">
      <w:trPr>
        <w:trHeight w:val="228"/>
      </w:trPr>
      <w:tc>
        <w:tcPr>
          <w:tcW w:w="2552" w:type="dxa"/>
          <w:vAlign w:val="center"/>
          <w:hideMark/>
        </w:tcPr>
        <w:p w14:paraId="4F49CB4A" w14:textId="77777777" w:rsidR="00CD1A76" w:rsidRDefault="00CD1A76" w:rsidP="00FC0D7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717C47C" w:rsidR="00CD1A76" w:rsidRDefault="00CD1A76" w:rsidP="00FC0D7D">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CD1A76" w14:paraId="69050F56" w14:textId="77777777" w:rsidTr="007E2BE8">
      <w:tc>
        <w:tcPr>
          <w:tcW w:w="2552" w:type="dxa"/>
          <w:vAlign w:val="center"/>
          <w:hideMark/>
        </w:tcPr>
        <w:p w14:paraId="65C9B735" w14:textId="3CB772C2" w:rsidR="00CD1A76" w:rsidRDefault="00CD1A7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CD1A76" w:rsidRDefault="00CD1A76"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CD1A76" w:rsidRDefault="00CD1A76"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CD1A76" w:rsidRDefault="00CD1A76"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CD1A76" w14:paraId="477E149B" w14:textId="77777777" w:rsidTr="007E2BE8">
      <w:tc>
        <w:tcPr>
          <w:tcW w:w="2551" w:type="dxa"/>
          <w:vAlign w:val="center"/>
          <w:hideMark/>
        </w:tcPr>
        <w:p w14:paraId="5C0586E4" w14:textId="77777777" w:rsidR="00CD1A76" w:rsidRDefault="00CD1A7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7A421EF9" w:rsidR="00CD1A76" w:rsidRDefault="00CD1A76" w:rsidP="00DB48DE">
          <w:pPr>
            <w:jc w:val="both"/>
            <w:rPr>
              <w:rFonts w:ascii="Palatino Linotype" w:hAnsi="Palatino Linotype"/>
              <w:b/>
              <w:sz w:val="22"/>
              <w:szCs w:val="22"/>
              <w:lang w:val="es-ES_tradnl"/>
            </w:rPr>
          </w:pPr>
          <w:r>
            <w:rPr>
              <w:rFonts w:ascii="Palatino Linotype" w:hAnsi="Palatino Linotype"/>
              <w:b/>
              <w:sz w:val="22"/>
              <w:szCs w:val="22"/>
              <w:lang w:val="es-ES_tradnl"/>
            </w:rPr>
            <w:t>04574/INFOEM/IP/RR/2018</w:t>
          </w:r>
        </w:p>
      </w:tc>
    </w:tr>
    <w:tr w:rsidR="00CD1A76" w14:paraId="5B5BE21C" w14:textId="77777777" w:rsidTr="007E2BE8">
      <w:tc>
        <w:tcPr>
          <w:tcW w:w="2551" w:type="dxa"/>
          <w:vAlign w:val="center"/>
          <w:hideMark/>
        </w:tcPr>
        <w:p w14:paraId="4AE96902" w14:textId="77777777" w:rsidR="00CD1A76" w:rsidRDefault="00CD1A76"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1BC21B1" w:rsidR="00CD1A76" w:rsidRDefault="00A01627" w:rsidP="00A01627">
          <w:pPr>
            <w:jc w:val="both"/>
            <w:rPr>
              <w:rFonts w:ascii="Palatino Linotype" w:hAnsi="Palatino Linotype"/>
              <w:b/>
              <w:sz w:val="22"/>
              <w:szCs w:val="22"/>
              <w:lang w:val="es-ES_tradnl"/>
            </w:rPr>
          </w:pPr>
          <w:r>
            <w:rPr>
              <w:rFonts w:ascii="Palatino Linotype" w:hAnsi="Palatino Linotype"/>
              <w:b/>
              <w:sz w:val="22"/>
              <w:szCs w:val="22"/>
              <w:lang w:val="es-ES_tradnl"/>
            </w:rPr>
            <w:t>Xxxxx Xxxxxx Xxxxx</w:t>
          </w:r>
        </w:p>
      </w:tc>
    </w:tr>
    <w:tr w:rsidR="00CD1A76" w14:paraId="22601A11" w14:textId="77777777" w:rsidTr="007E2BE8">
      <w:trPr>
        <w:trHeight w:val="228"/>
      </w:trPr>
      <w:tc>
        <w:tcPr>
          <w:tcW w:w="2551" w:type="dxa"/>
          <w:vAlign w:val="center"/>
          <w:hideMark/>
        </w:tcPr>
        <w:p w14:paraId="6EFE221D" w14:textId="77777777" w:rsidR="00CD1A76" w:rsidRDefault="00CD1A7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1CEAD49F" w:rsidR="00CD1A76" w:rsidRDefault="00CD1A76" w:rsidP="00FC0D7D">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CD1A76" w14:paraId="2D6C630E" w14:textId="77777777" w:rsidTr="007E2BE8">
      <w:tc>
        <w:tcPr>
          <w:tcW w:w="2551" w:type="dxa"/>
          <w:vAlign w:val="center"/>
          <w:hideMark/>
        </w:tcPr>
        <w:p w14:paraId="5BD4C6DB" w14:textId="656677ED" w:rsidR="00CD1A76" w:rsidRDefault="00CD1A76"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CD1A76" w:rsidRDefault="00CD1A76"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D1A76" w:rsidRDefault="00CD1A7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15AC1"/>
    <w:multiLevelType w:val="hybridMultilevel"/>
    <w:tmpl w:val="E4F8A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11D69"/>
    <w:multiLevelType w:val="hybridMultilevel"/>
    <w:tmpl w:val="7ADE3A20"/>
    <w:lvl w:ilvl="0" w:tplc="82F69B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17DE4204"/>
    <w:multiLevelType w:val="hybridMultilevel"/>
    <w:tmpl w:val="7842E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2397A"/>
    <w:multiLevelType w:val="hybridMultilevel"/>
    <w:tmpl w:val="6B225BE2"/>
    <w:lvl w:ilvl="0" w:tplc="1E88BDA2">
      <w:start w:val="1"/>
      <w:numFmt w:val="decimal"/>
      <w:lvlText w:val="%1."/>
      <w:lvlJc w:val="left"/>
      <w:pPr>
        <w:ind w:left="1080" w:hanging="72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850123"/>
    <w:multiLevelType w:val="hybridMultilevel"/>
    <w:tmpl w:val="431E2FDC"/>
    <w:lvl w:ilvl="0" w:tplc="9EA010EA">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956131"/>
    <w:multiLevelType w:val="hybridMultilevel"/>
    <w:tmpl w:val="DA801840"/>
    <w:lvl w:ilvl="0" w:tplc="1E88BDA2">
      <w:start w:val="1"/>
      <w:numFmt w:val="decimal"/>
      <w:lvlText w:val="%1."/>
      <w:lvlJc w:val="left"/>
      <w:pPr>
        <w:ind w:left="1501" w:hanging="720"/>
      </w:pPr>
      <w:rPr>
        <w:rFonts w:ascii="Palatino Linotype" w:hAnsi="Palatino Linotype" w:hint="default"/>
        <w:sz w:val="22"/>
      </w:rPr>
    </w:lvl>
    <w:lvl w:ilvl="1" w:tplc="080A0019" w:tentative="1">
      <w:start w:val="1"/>
      <w:numFmt w:val="lowerLetter"/>
      <w:lvlText w:val="%2."/>
      <w:lvlJc w:val="left"/>
      <w:pPr>
        <w:ind w:left="1861" w:hanging="360"/>
      </w:pPr>
    </w:lvl>
    <w:lvl w:ilvl="2" w:tplc="080A001B" w:tentative="1">
      <w:start w:val="1"/>
      <w:numFmt w:val="lowerRoman"/>
      <w:lvlText w:val="%3."/>
      <w:lvlJc w:val="right"/>
      <w:pPr>
        <w:ind w:left="2581" w:hanging="180"/>
      </w:pPr>
    </w:lvl>
    <w:lvl w:ilvl="3" w:tplc="080A000F" w:tentative="1">
      <w:start w:val="1"/>
      <w:numFmt w:val="decimal"/>
      <w:lvlText w:val="%4."/>
      <w:lvlJc w:val="left"/>
      <w:pPr>
        <w:ind w:left="3301" w:hanging="360"/>
      </w:pPr>
    </w:lvl>
    <w:lvl w:ilvl="4" w:tplc="080A0019" w:tentative="1">
      <w:start w:val="1"/>
      <w:numFmt w:val="lowerLetter"/>
      <w:lvlText w:val="%5."/>
      <w:lvlJc w:val="left"/>
      <w:pPr>
        <w:ind w:left="4021" w:hanging="360"/>
      </w:pPr>
    </w:lvl>
    <w:lvl w:ilvl="5" w:tplc="080A001B" w:tentative="1">
      <w:start w:val="1"/>
      <w:numFmt w:val="lowerRoman"/>
      <w:lvlText w:val="%6."/>
      <w:lvlJc w:val="right"/>
      <w:pPr>
        <w:ind w:left="4741" w:hanging="180"/>
      </w:pPr>
    </w:lvl>
    <w:lvl w:ilvl="6" w:tplc="080A000F" w:tentative="1">
      <w:start w:val="1"/>
      <w:numFmt w:val="decimal"/>
      <w:lvlText w:val="%7."/>
      <w:lvlJc w:val="left"/>
      <w:pPr>
        <w:ind w:left="5461" w:hanging="360"/>
      </w:pPr>
    </w:lvl>
    <w:lvl w:ilvl="7" w:tplc="080A0019" w:tentative="1">
      <w:start w:val="1"/>
      <w:numFmt w:val="lowerLetter"/>
      <w:lvlText w:val="%8."/>
      <w:lvlJc w:val="left"/>
      <w:pPr>
        <w:ind w:left="6181" w:hanging="360"/>
      </w:pPr>
    </w:lvl>
    <w:lvl w:ilvl="8" w:tplc="080A001B" w:tentative="1">
      <w:start w:val="1"/>
      <w:numFmt w:val="lowerRoman"/>
      <w:lvlText w:val="%9."/>
      <w:lvlJc w:val="right"/>
      <w:pPr>
        <w:ind w:left="6901" w:hanging="180"/>
      </w:pPr>
    </w:lvl>
  </w:abstractNum>
  <w:abstractNum w:abstractNumId="9" w15:restartNumberingAfterBreak="0">
    <w:nsid w:val="411D34C4"/>
    <w:multiLevelType w:val="hybridMultilevel"/>
    <w:tmpl w:val="E9F29DC2"/>
    <w:lvl w:ilvl="0" w:tplc="9AECC0A2">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8"/>
  </w:num>
  <w:num w:numId="2">
    <w:abstractNumId w:val="0"/>
  </w:num>
  <w:num w:numId="3">
    <w:abstractNumId w:val="6"/>
  </w:num>
  <w:num w:numId="4">
    <w:abstractNumId w:val="20"/>
  </w:num>
  <w:num w:numId="5">
    <w:abstractNumId w:val="21"/>
  </w:num>
  <w:num w:numId="6">
    <w:abstractNumId w:val="3"/>
  </w:num>
  <w:num w:numId="7">
    <w:abstractNumId w:val="19"/>
  </w:num>
  <w:num w:numId="8">
    <w:abstractNumId w:val="22"/>
  </w:num>
  <w:num w:numId="9">
    <w:abstractNumId w:val="1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12"/>
  </w:num>
  <w:num w:numId="14">
    <w:abstractNumId w:val="16"/>
  </w:num>
  <w:num w:numId="15">
    <w:abstractNumId w:val="10"/>
  </w:num>
  <w:num w:numId="16">
    <w:abstractNumId w:val="11"/>
  </w:num>
  <w:num w:numId="17">
    <w:abstractNumId w:val="4"/>
  </w:num>
  <w:num w:numId="18">
    <w:abstractNumId w:val="15"/>
  </w:num>
  <w:num w:numId="19">
    <w:abstractNumId w:val="1"/>
  </w:num>
  <w:num w:numId="20">
    <w:abstractNumId w:val="8"/>
  </w:num>
  <w:num w:numId="21">
    <w:abstractNumId w:val="7"/>
  </w:num>
  <w:num w:numId="22">
    <w:abstractNumId w:val="9"/>
  </w:num>
  <w:num w:numId="23">
    <w:abstractNumId w:val="2"/>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6ED"/>
    <w:rsid w:val="00007F6F"/>
    <w:rsid w:val="00010028"/>
    <w:rsid w:val="000100B1"/>
    <w:rsid w:val="00013961"/>
    <w:rsid w:val="00013D8B"/>
    <w:rsid w:val="000142A6"/>
    <w:rsid w:val="00014CE5"/>
    <w:rsid w:val="00014F3B"/>
    <w:rsid w:val="000163E2"/>
    <w:rsid w:val="00022DB0"/>
    <w:rsid w:val="0002448A"/>
    <w:rsid w:val="000256B0"/>
    <w:rsid w:val="0002752B"/>
    <w:rsid w:val="00027800"/>
    <w:rsid w:val="000319AA"/>
    <w:rsid w:val="0003249D"/>
    <w:rsid w:val="00033FB2"/>
    <w:rsid w:val="000354B7"/>
    <w:rsid w:val="000416BB"/>
    <w:rsid w:val="00043E5D"/>
    <w:rsid w:val="0004420F"/>
    <w:rsid w:val="00044D55"/>
    <w:rsid w:val="000467EA"/>
    <w:rsid w:val="00047A3C"/>
    <w:rsid w:val="0005034C"/>
    <w:rsid w:val="000507B6"/>
    <w:rsid w:val="00051C4C"/>
    <w:rsid w:val="00052FFB"/>
    <w:rsid w:val="00053B57"/>
    <w:rsid w:val="000542C7"/>
    <w:rsid w:val="00054B4D"/>
    <w:rsid w:val="00055BCD"/>
    <w:rsid w:val="00060DA9"/>
    <w:rsid w:val="0006112D"/>
    <w:rsid w:val="00061207"/>
    <w:rsid w:val="0006370A"/>
    <w:rsid w:val="000657E3"/>
    <w:rsid w:val="0006581C"/>
    <w:rsid w:val="00066209"/>
    <w:rsid w:val="000679F8"/>
    <w:rsid w:val="00067BE6"/>
    <w:rsid w:val="00067DA3"/>
    <w:rsid w:val="000719E0"/>
    <w:rsid w:val="00071EFB"/>
    <w:rsid w:val="00073B46"/>
    <w:rsid w:val="00073BA4"/>
    <w:rsid w:val="00074FC9"/>
    <w:rsid w:val="000773AB"/>
    <w:rsid w:val="00083430"/>
    <w:rsid w:val="0008542A"/>
    <w:rsid w:val="00086D0F"/>
    <w:rsid w:val="00087991"/>
    <w:rsid w:val="00087A2F"/>
    <w:rsid w:val="000921F5"/>
    <w:rsid w:val="000941C8"/>
    <w:rsid w:val="00094801"/>
    <w:rsid w:val="0009491F"/>
    <w:rsid w:val="000955C2"/>
    <w:rsid w:val="00095E81"/>
    <w:rsid w:val="00096F4F"/>
    <w:rsid w:val="00097258"/>
    <w:rsid w:val="000979C0"/>
    <w:rsid w:val="000A0CBA"/>
    <w:rsid w:val="000A2711"/>
    <w:rsid w:val="000A4F8F"/>
    <w:rsid w:val="000A57F2"/>
    <w:rsid w:val="000A5983"/>
    <w:rsid w:val="000A70F6"/>
    <w:rsid w:val="000A7B31"/>
    <w:rsid w:val="000B0177"/>
    <w:rsid w:val="000B0964"/>
    <w:rsid w:val="000B2927"/>
    <w:rsid w:val="000B3FFD"/>
    <w:rsid w:val="000B4924"/>
    <w:rsid w:val="000B4FE8"/>
    <w:rsid w:val="000B59ED"/>
    <w:rsid w:val="000C06EC"/>
    <w:rsid w:val="000C09FB"/>
    <w:rsid w:val="000C15E2"/>
    <w:rsid w:val="000C223E"/>
    <w:rsid w:val="000C2B90"/>
    <w:rsid w:val="000C2DC4"/>
    <w:rsid w:val="000C418D"/>
    <w:rsid w:val="000C4453"/>
    <w:rsid w:val="000C4F0B"/>
    <w:rsid w:val="000C52FE"/>
    <w:rsid w:val="000C5AA6"/>
    <w:rsid w:val="000C6B3B"/>
    <w:rsid w:val="000C7A6B"/>
    <w:rsid w:val="000D05A8"/>
    <w:rsid w:val="000D0875"/>
    <w:rsid w:val="000D1CE4"/>
    <w:rsid w:val="000D23E1"/>
    <w:rsid w:val="000D3C24"/>
    <w:rsid w:val="000D7802"/>
    <w:rsid w:val="000D7D54"/>
    <w:rsid w:val="000E0261"/>
    <w:rsid w:val="000E0B0D"/>
    <w:rsid w:val="000E0D4C"/>
    <w:rsid w:val="000E2DE5"/>
    <w:rsid w:val="000E3C8A"/>
    <w:rsid w:val="000E5379"/>
    <w:rsid w:val="000E60B9"/>
    <w:rsid w:val="000F128B"/>
    <w:rsid w:val="000F27A3"/>
    <w:rsid w:val="000F2894"/>
    <w:rsid w:val="000F4224"/>
    <w:rsid w:val="000F570C"/>
    <w:rsid w:val="000F60B3"/>
    <w:rsid w:val="000F6198"/>
    <w:rsid w:val="000F6B89"/>
    <w:rsid w:val="00100085"/>
    <w:rsid w:val="00103284"/>
    <w:rsid w:val="001058E7"/>
    <w:rsid w:val="0011135B"/>
    <w:rsid w:val="001119A1"/>
    <w:rsid w:val="00111C6A"/>
    <w:rsid w:val="00111D62"/>
    <w:rsid w:val="00111E67"/>
    <w:rsid w:val="001136B7"/>
    <w:rsid w:val="00113827"/>
    <w:rsid w:val="001145E0"/>
    <w:rsid w:val="00114D84"/>
    <w:rsid w:val="00114E1D"/>
    <w:rsid w:val="00114F4F"/>
    <w:rsid w:val="00114FD0"/>
    <w:rsid w:val="00116E39"/>
    <w:rsid w:val="0012117E"/>
    <w:rsid w:val="00122A9B"/>
    <w:rsid w:val="00130D91"/>
    <w:rsid w:val="00131A23"/>
    <w:rsid w:val="0013438C"/>
    <w:rsid w:val="00135834"/>
    <w:rsid w:val="00135983"/>
    <w:rsid w:val="001360AD"/>
    <w:rsid w:val="0013663C"/>
    <w:rsid w:val="00137C33"/>
    <w:rsid w:val="00137EEF"/>
    <w:rsid w:val="001409A7"/>
    <w:rsid w:val="00147BF2"/>
    <w:rsid w:val="00150121"/>
    <w:rsid w:val="00150C0E"/>
    <w:rsid w:val="00152EB9"/>
    <w:rsid w:val="0015476C"/>
    <w:rsid w:val="00154A89"/>
    <w:rsid w:val="00155EE8"/>
    <w:rsid w:val="0016185D"/>
    <w:rsid w:val="001623C4"/>
    <w:rsid w:val="00164786"/>
    <w:rsid w:val="001650BF"/>
    <w:rsid w:val="00166079"/>
    <w:rsid w:val="001735DB"/>
    <w:rsid w:val="001764BD"/>
    <w:rsid w:val="001766A8"/>
    <w:rsid w:val="00176A2B"/>
    <w:rsid w:val="001810BD"/>
    <w:rsid w:val="00181731"/>
    <w:rsid w:val="00183588"/>
    <w:rsid w:val="001877E3"/>
    <w:rsid w:val="00190C0E"/>
    <w:rsid w:val="001910A9"/>
    <w:rsid w:val="00193924"/>
    <w:rsid w:val="001A211D"/>
    <w:rsid w:val="001A4110"/>
    <w:rsid w:val="001A414B"/>
    <w:rsid w:val="001A416A"/>
    <w:rsid w:val="001A4247"/>
    <w:rsid w:val="001A4321"/>
    <w:rsid w:val="001A4AAA"/>
    <w:rsid w:val="001A523B"/>
    <w:rsid w:val="001A6401"/>
    <w:rsid w:val="001A750D"/>
    <w:rsid w:val="001A7AB4"/>
    <w:rsid w:val="001B1809"/>
    <w:rsid w:val="001B4CEE"/>
    <w:rsid w:val="001C32EB"/>
    <w:rsid w:val="001C78B4"/>
    <w:rsid w:val="001D12BB"/>
    <w:rsid w:val="001D546F"/>
    <w:rsid w:val="001D56A6"/>
    <w:rsid w:val="001D5E49"/>
    <w:rsid w:val="001D6C31"/>
    <w:rsid w:val="001D7454"/>
    <w:rsid w:val="001E27A2"/>
    <w:rsid w:val="001E2B3B"/>
    <w:rsid w:val="001E3163"/>
    <w:rsid w:val="001E7A4B"/>
    <w:rsid w:val="001E7F56"/>
    <w:rsid w:val="001F192E"/>
    <w:rsid w:val="001F7359"/>
    <w:rsid w:val="00200379"/>
    <w:rsid w:val="002004A4"/>
    <w:rsid w:val="002009A8"/>
    <w:rsid w:val="00202CBF"/>
    <w:rsid w:val="002035AE"/>
    <w:rsid w:val="002045D9"/>
    <w:rsid w:val="00205A12"/>
    <w:rsid w:val="00205AEA"/>
    <w:rsid w:val="00205E96"/>
    <w:rsid w:val="002069B9"/>
    <w:rsid w:val="002118F9"/>
    <w:rsid w:val="00212533"/>
    <w:rsid w:val="00212950"/>
    <w:rsid w:val="00213BC3"/>
    <w:rsid w:val="0021467C"/>
    <w:rsid w:val="0021475A"/>
    <w:rsid w:val="00215C1A"/>
    <w:rsid w:val="0021624F"/>
    <w:rsid w:val="002175B2"/>
    <w:rsid w:val="002207F0"/>
    <w:rsid w:val="00220958"/>
    <w:rsid w:val="00220F0D"/>
    <w:rsid w:val="00221FB8"/>
    <w:rsid w:val="00222FE8"/>
    <w:rsid w:val="00223CA2"/>
    <w:rsid w:val="0022420A"/>
    <w:rsid w:val="00224F8A"/>
    <w:rsid w:val="0022626D"/>
    <w:rsid w:val="00227C43"/>
    <w:rsid w:val="00230740"/>
    <w:rsid w:val="00231E9F"/>
    <w:rsid w:val="0023264F"/>
    <w:rsid w:val="002328ED"/>
    <w:rsid w:val="002345CA"/>
    <w:rsid w:val="00235A99"/>
    <w:rsid w:val="00235FA6"/>
    <w:rsid w:val="002373CE"/>
    <w:rsid w:val="00237715"/>
    <w:rsid w:val="0024021F"/>
    <w:rsid w:val="002433EF"/>
    <w:rsid w:val="00245370"/>
    <w:rsid w:val="002534E4"/>
    <w:rsid w:val="0025352F"/>
    <w:rsid w:val="00255050"/>
    <w:rsid w:val="002551B1"/>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11CA"/>
    <w:rsid w:val="00291601"/>
    <w:rsid w:val="00292319"/>
    <w:rsid w:val="002935B2"/>
    <w:rsid w:val="00293B56"/>
    <w:rsid w:val="00295231"/>
    <w:rsid w:val="002A091E"/>
    <w:rsid w:val="002A3170"/>
    <w:rsid w:val="002A3355"/>
    <w:rsid w:val="002A36F9"/>
    <w:rsid w:val="002A397A"/>
    <w:rsid w:val="002A3A0D"/>
    <w:rsid w:val="002A5B60"/>
    <w:rsid w:val="002A6D97"/>
    <w:rsid w:val="002A750D"/>
    <w:rsid w:val="002B043C"/>
    <w:rsid w:val="002B5C0B"/>
    <w:rsid w:val="002B6758"/>
    <w:rsid w:val="002B6C95"/>
    <w:rsid w:val="002B7CA4"/>
    <w:rsid w:val="002C0312"/>
    <w:rsid w:val="002C191F"/>
    <w:rsid w:val="002C345F"/>
    <w:rsid w:val="002C361C"/>
    <w:rsid w:val="002C4FFD"/>
    <w:rsid w:val="002C6154"/>
    <w:rsid w:val="002D19F0"/>
    <w:rsid w:val="002D3B5F"/>
    <w:rsid w:val="002D3CBA"/>
    <w:rsid w:val="002D5178"/>
    <w:rsid w:val="002D5AD7"/>
    <w:rsid w:val="002D5D77"/>
    <w:rsid w:val="002D6B0B"/>
    <w:rsid w:val="002E0FAE"/>
    <w:rsid w:val="002E102B"/>
    <w:rsid w:val="002E1568"/>
    <w:rsid w:val="002E475B"/>
    <w:rsid w:val="002E5B52"/>
    <w:rsid w:val="002E61CF"/>
    <w:rsid w:val="002E6E72"/>
    <w:rsid w:val="002F04C5"/>
    <w:rsid w:val="002F0818"/>
    <w:rsid w:val="002F242D"/>
    <w:rsid w:val="002F26A0"/>
    <w:rsid w:val="002F26DE"/>
    <w:rsid w:val="002F35EC"/>
    <w:rsid w:val="002F51D0"/>
    <w:rsid w:val="002F546F"/>
    <w:rsid w:val="002F583B"/>
    <w:rsid w:val="002F58D0"/>
    <w:rsid w:val="002F6249"/>
    <w:rsid w:val="002F6250"/>
    <w:rsid w:val="002F76E9"/>
    <w:rsid w:val="00311EA8"/>
    <w:rsid w:val="003152EB"/>
    <w:rsid w:val="003164B0"/>
    <w:rsid w:val="00317987"/>
    <w:rsid w:val="003229C3"/>
    <w:rsid w:val="00322A09"/>
    <w:rsid w:val="00323309"/>
    <w:rsid w:val="003245BF"/>
    <w:rsid w:val="00325833"/>
    <w:rsid w:val="00325A94"/>
    <w:rsid w:val="00326031"/>
    <w:rsid w:val="00326CE7"/>
    <w:rsid w:val="00330ADB"/>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C3E"/>
    <w:rsid w:val="00361C46"/>
    <w:rsid w:val="00363F3A"/>
    <w:rsid w:val="003657E8"/>
    <w:rsid w:val="00366398"/>
    <w:rsid w:val="00370254"/>
    <w:rsid w:val="0037130F"/>
    <w:rsid w:val="00371503"/>
    <w:rsid w:val="00373004"/>
    <w:rsid w:val="0037499B"/>
    <w:rsid w:val="00375B4E"/>
    <w:rsid w:val="00376685"/>
    <w:rsid w:val="0038104F"/>
    <w:rsid w:val="00381215"/>
    <w:rsid w:val="00385D61"/>
    <w:rsid w:val="00386233"/>
    <w:rsid w:val="00387919"/>
    <w:rsid w:val="00390B9F"/>
    <w:rsid w:val="00391A7B"/>
    <w:rsid w:val="00393A05"/>
    <w:rsid w:val="0039552D"/>
    <w:rsid w:val="00395E91"/>
    <w:rsid w:val="0039701C"/>
    <w:rsid w:val="003A397A"/>
    <w:rsid w:val="003A4BB1"/>
    <w:rsid w:val="003A659F"/>
    <w:rsid w:val="003A783B"/>
    <w:rsid w:val="003A7B01"/>
    <w:rsid w:val="003A7F60"/>
    <w:rsid w:val="003B270A"/>
    <w:rsid w:val="003B7FCC"/>
    <w:rsid w:val="003C11AD"/>
    <w:rsid w:val="003C632F"/>
    <w:rsid w:val="003C74C8"/>
    <w:rsid w:val="003C7890"/>
    <w:rsid w:val="003C7EB2"/>
    <w:rsid w:val="003D0DF5"/>
    <w:rsid w:val="003D15A0"/>
    <w:rsid w:val="003D2D92"/>
    <w:rsid w:val="003D3669"/>
    <w:rsid w:val="003D3E27"/>
    <w:rsid w:val="003E02C8"/>
    <w:rsid w:val="003E25E5"/>
    <w:rsid w:val="003E3309"/>
    <w:rsid w:val="003E5F2F"/>
    <w:rsid w:val="003E68C4"/>
    <w:rsid w:val="003E6ADA"/>
    <w:rsid w:val="003F0B28"/>
    <w:rsid w:val="003F3551"/>
    <w:rsid w:val="003F5889"/>
    <w:rsid w:val="003F7CA2"/>
    <w:rsid w:val="00403B17"/>
    <w:rsid w:val="004047B8"/>
    <w:rsid w:val="00405DD8"/>
    <w:rsid w:val="004063AE"/>
    <w:rsid w:val="00407710"/>
    <w:rsid w:val="00411EF1"/>
    <w:rsid w:val="00412F99"/>
    <w:rsid w:val="004143DE"/>
    <w:rsid w:val="00415E56"/>
    <w:rsid w:val="00421BCC"/>
    <w:rsid w:val="00424C23"/>
    <w:rsid w:val="00424E3A"/>
    <w:rsid w:val="00425800"/>
    <w:rsid w:val="00426DC4"/>
    <w:rsid w:val="004332A1"/>
    <w:rsid w:val="004336A7"/>
    <w:rsid w:val="004349CB"/>
    <w:rsid w:val="00434DA7"/>
    <w:rsid w:val="00435296"/>
    <w:rsid w:val="004352B9"/>
    <w:rsid w:val="004353C8"/>
    <w:rsid w:val="00440F78"/>
    <w:rsid w:val="0044376D"/>
    <w:rsid w:val="00444FAD"/>
    <w:rsid w:val="0044547C"/>
    <w:rsid w:val="00447AF6"/>
    <w:rsid w:val="00450F9B"/>
    <w:rsid w:val="00451EBC"/>
    <w:rsid w:val="00452559"/>
    <w:rsid w:val="00452E9E"/>
    <w:rsid w:val="00454B4C"/>
    <w:rsid w:val="004559FA"/>
    <w:rsid w:val="00456125"/>
    <w:rsid w:val="004569BD"/>
    <w:rsid w:val="00461485"/>
    <w:rsid w:val="00462B69"/>
    <w:rsid w:val="004642D1"/>
    <w:rsid w:val="00464421"/>
    <w:rsid w:val="00466025"/>
    <w:rsid w:val="00467BD4"/>
    <w:rsid w:val="0047014C"/>
    <w:rsid w:val="004706C8"/>
    <w:rsid w:val="00473A67"/>
    <w:rsid w:val="0047415F"/>
    <w:rsid w:val="00474B8E"/>
    <w:rsid w:val="00475219"/>
    <w:rsid w:val="004754F6"/>
    <w:rsid w:val="0047739C"/>
    <w:rsid w:val="0047785E"/>
    <w:rsid w:val="00477874"/>
    <w:rsid w:val="00480540"/>
    <w:rsid w:val="00480BD4"/>
    <w:rsid w:val="004817F9"/>
    <w:rsid w:val="004836A2"/>
    <w:rsid w:val="00483A1C"/>
    <w:rsid w:val="00484663"/>
    <w:rsid w:val="00485070"/>
    <w:rsid w:val="0048628A"/>
    <w:rsid w:val="00487F15"/>
    <w:rsid w:val="00491A66"/>
    <w:rsid w:val="00492527"/>
    <w:rsid w:val="004937D6"/>
    <w:rsid w:val="004945C6"/>
    <w:rsid w:val="004957EE"/>
    <w:rsid w:val="004A0C64"/>
    <w:rsid w:val="004A21C5"/>
    <w:rsid w:val="004A2300"/>
    <w:rsid w:val="004A284F"/>
    <w:rsid w:val="004A2A04"/>
    <w:rsid w:val="004A4371"/>
    <w:rsid w:val="004A5820"/>
    <w:rsid w:val="004A60B4"/>
    <w:rsid w:val="004B1B02"/>
    <w:rsid w:val="004B246C"/>
    <w:rsid w:val="004B2513"/>
    <w:rsid w:val="004B3CAB"/>
    <w:rsid w:val="004B44CC"/>
    <w:rsid w:val="004B5E96"/>
    <w:rsid w:val="004B7D28"/>
    <w:rsid w:val="004C182F"/>
    <w:rsid w:val="004C1E98"/>
    <w:rsid w:val="004C59B8"/>
    <w:rsid w:val="004C6658"/>
    <w:rsid w:val="004C66C2"/>
    <w:rsid w:val="004C67D0"/>
    <w:rsid w:val="004C6F7F"/>
    <w:rsid w:val="004D02E4"/>
    <w:rsid w:val="004D0A26"/>
    <w:rsid w:val="004D422B"/>
    <w:rsid w:val="004D576E"/>
    <w:rsid w:val="004D5F53"/>
    <w:rsid w:val="004D693B"/>
    <w:rsid w:val="004E5A46"/>
    <w:rsid w:val="004F1182"/>
    <w:rsid w:val="004F2BE9"/>
    <w:rsid w:val="004F3259"/>
    <w:rsid w:val="004F3BA8"/>
    <w:rsid w:val="004F4A54"/>
    <w:rsid w:val="004F6B35"/>
    <w:rsid w:val="004F6DE4"/>
    <w:rsid w:val="004F729B"/>
    <w:rsid w:val="004F7587"/>
    <w:rsid w:val="00503050"/>
    <w:rsid w:val="00504EE9"/>
    <w:rsid w:val="00505DDE"/>
    <w:rsid w:val="00507ACA"/>
    <w:rsid w:val="005106D8"/>
    <w:rsid w:val="00511714"/>
    <w:rsid w:val="0051306F"/>
    <w:rsid w:val="005130E0"/>
    <w:rsid w:val="00516E27"/>
    <w:rsid w:val="005215E1"/>
    <w:rsid w:val="00522489"/>
    <w:rsid w:val="00522C1B"/>
    <w:rsid w:val="0052329A"/>
    <w:rsid w:val="00525DE6"/>
    <w:rsid w:val="00525FB3"/>
    <w:rsid w:val="00526266"/>
    <w:rsid w:val="005310A7"/>
    <w:rsid w:val="00531465"/>
    <w:rsid w:val="00531716"/>
    <w:rsid w:val="00533D3A"/>
    <w:rsid w:val="0053472C"/>
    <w:rsid w:val="00537621"/>
    <w:rsid w:val="0053793E"/>
    <w:rsid w:val="005436CD"/>
    <w:rsid w:val="005442D6"/>
    <w:rsid w:val="005457D7"/>
    <w:rsid w:val="00546359"/>
    <w:rsid w:val="0054643E"/>
    <w:rsid w:val="0054655C"/>
    <w:rsid w:val="005509B1"/>
    <w:rsid w:val="00551230"/>
    <w:rsid w:val="00551858"/>
    <w:rsid w:val="00552E43"/>
    <w:rsid w:val="00553C75"/>
    <w:rsid w:val="00553CA8"/>
    <w:rsid w:val="00553FDC"/>
    <w:rsid w:val="005542B0"/>
    <w:rsid w:val="00554349"/>
    <w:rsid w:val="0055563C"/>
    <w:rsid w:val="00556D4F"/>
    <w:rsid w:val="00556E6F"/>
    <w:rsid w:val="00557013"/>
    <w:rsid w:val="00560589"/>
    <w:rsid w:val="00561EAB"/>
    <w:rsid w:val="00564E97"/>
    <w:rsid w:val="005653C4"/>
    <w:rsid w:val="005657D3"/>
    <w:rsid w:val="00565D50"/>
    <w:rsid w:val="00570274"/>
    <w:rsid w:val="0057032D"/>
    <w:rsid w:val="005728FE"/>
    <w:rsid w:val="00573C2A"/>
    <w:rsid w:val="00574665"/>
    <w:rsid w:val="00575E71"/>
    <w:rsid w:val="00577907"/>
    <w:rsid w:val="00577B41"/>
    <w:rsid w:val="0058160D"/>
    <w:rsid w:val="00582674"/>
    <w:rsid w:val="005826AB"/>
    <w:rsid w:val="00582972"/>
    <w:rsid w:val="005841E9"/>
    <w:rsid w:val="00584687"/>
    <w:rsid w:val="00584EBE"/>
    <w:rsid w:val="00586273"/>
    <w:rsid w:val="00591A91"/>
    <w:rsid w:val="00591D6C"/>
    <w:rsid w:val="00591F82"/>
    <w:rsid w:val="00594D6B"/>
    <w:rsid w:val="00595FA1"/>
    <w:rsid w:val="005A242B"/>
    <w:rsid w:val="005A4041"/>
    <w:rsid w:val="005A5205"/>
    <w:rsid w:val="005B03F8"/>
    <w:rsid w:val="005B0730"/>
    <w:rsid w:val="005B12DE"/>
    <w:rsid w:val="005B1671"/>
    <w:rsid w:val="005B22E5"/>
    <w:rsid w:val="005B345E"/>
    <w:rsid w:val="005B36BD"/>
    <w:rsid w:val="005B3B31"/>
    <w:rsid w:val="005B6974"/>
    <w:rsid w:val="005B7BD2"/>
    <w:rsid w:val="005C2780"/>
    <w:rsid w:val="005C282F"/>
    <w:rsid w:val="005C35B2"/>
    <w:rsid w:val="005C4194"/>
    <w:rsid w:val="005C436B"/>
    <w:rsid w:val="005C4682"/>
    <w:rsid w:val="005C55AE"/>
    <w:rsid w:val="005C7879"/>
    <w:rsid w:val="005C793D"/>
    <w:rsid w:val="005D053F"/>
    <w:rsid w:val="005D349B"/>
    <w:rsid w:val="005D516E"/>
    <w:rsid w:val="005D6234"/>
    <w:rsid w:val="005D6D42"/>
    <w:rsid w:val="005D7382"/>
    <w:rsid w:val="005E025A"/>
    <w:rsid w:val="005E057B"/>
    <w:rsid w:val="005E4D65"/>
    <w:rsid w:val="005E5433"/>
    <w:rsid w:val="005E5776"/>
    <w:rsid w:val="005E6BF5"/>
    <w:rsid w:val="005E6C14"/>
    <w:rsid w:val="005F0FA5"/>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208DE"/>
    <w:rsid w:val="00621A6C"/>
    <w:rsid w:val="00623B8D"/>
    <w:rsid w:val="00624A65"/>
    <w:rsid w:val="006258FE"/>
    <w:rsid w:val="006267FA"/>
    <w:rsid w:val="0063009C"/>
    <w:rsid w:val="00634485"/>
    <w:rsid w:val="00634FB1"/>
    <w:rsid w:val="00636F39"/>
    <w:rsid w:val="00637249"/>
    <w:rsid w:val="0063754F"/>
    <w:rsid w:val="00640A3F"/>
    <w:rsid w:val="00644755"/>
    <w:rsid w:val="006455AB"/>
    <w:rsid w:val="0065133A"/>
    <w:rsid w:val="00652DED"/>
    <w:rsid w:val="0065354D"/>
    <w:rsid w:val="00654C45"/>
    <w:rsid w:val="00660310"/>
    <w:rsid w:val="006608DF"/>
    <w:rsid w:val="00662FB1"/>
    <w:rsid w:val="00670A50"/>
    <w:rsid w:val="0067323E"/>
    <w:rsid w:val="00674CCB"/>
    <w:rsid w:val="0067588A"/>
    <w:rsid w:val="00676A20"/>
    <w:rsid w:val="00676F9F"/>
    <w:rsid w:val="00677BDD"/>
    <w:rsid w:val="00681F35"/>
    <w:rsid w:val="00683FF4"/>
    <w:rsid w:val="0068501E"/>
    <w:rsid w:val="00685D2F"/>
    <w:rsid w:val="00686A22"/>
    <w:rsid w:val="00686A8A"/>
    <w:rsid w:val="00687094"/>
    <w:rsid w:val="00687E13"/>
    <w:rsid w:val="006918EE"/>
    <w:rsid w:val="00692FD5"/>
    <w:rsid w:val="006930A2"/>
    <w:rsid w:val="00693254"/>
    <w:rsid w:val="00695984"/>
    <w:rsid w:val="00696A49"/>
    <w:rsid w:val="006A1780"/>
    <w:rsid w:val="006A1EA6"/>
    <w:rsid w:val="006A460C"/>
    <w:rsid w:val="006A6078"/>
    <w:rsid w:val="006A66F8"/>
    <w:rsid w:val="006B0DBD"/>
    <w:rsid w:val="006B1316"/>
    <w:rsid w:val="006B2B26"/>
    <w:rsid w:val="006B34A2"/>
    <w:rsid w:val="006B3541"/>
    <w:rsid w:val="006B41EF"/>
    <w:rsid w:val="006B499F"/>
    <w:rsid w:val="006B4B3F"/>
    <w:rsid w:val="006B5FF0"/>
    <w:rsid w:val="006C0F6B"/>
    <w:rsid w:val="006C2293"/>
    <w:rsid w:val="006C4122"/>
    <w:rsid w:val="006C4621"/>
    <w:rsid w:val="006C57D0"/>
    <w:rsid w:val="006C6F20"/>
    <w:rsid w:val="006C7576"/>
    <w:rsid w:val="006C7872"/>
    <w:rsid w:val="006D27E2"/>
    <w:rsid w:val="006D2A60"/>
    <w:rsid w:val="006D5149"/>
    <w:rsid w:val="006D57AB"/>
    <w:rsid w:val="006D709E"/>
    <w:rsid w:val="006E0CD5"/>
    <w:rsid w:val="006E2945"/>
    <w:rsid w:val="006E2B0C"/>
    <w:rsid w:val="006E5110"/>
    <w:rsid w:val="006E6389"/>
    <w:rsid w:val="006E79A4"/>
    <w:rsid w:val="006E7F99"/>
    <w:rsid w:val="006F06B9"/>
    <w:rsid w:val="006F2374"/>
    <w:rsid w:val="006F30F8"/>
    <w:rsid w:val="006F411B"/>
    <w:rsid w:val="006F43EE"/>
    <w:rsid w:val="00703066"/>
    <w:rsid w:val="00704D3B"/>
    <w:rsid w:val="00706871"/>
    <w:rsid w:val="00716D27"/>
    <w:rsid w:val="00720E98"/>
    <w:rsid w:val="00721A45"/>
    <w:rsid w:val="00722947"/>
    <w:rsid w:val="00722FE7"/>
    <w:rsid w:val="00723651"/>
    <w:rsid w:val="0072458C"/>
    <w:rsid w:val="00724B06"/>
    <w:rsid w:val="00726EA0"/>
    <w:rsid w:val="00727EC8"/>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44273"/>
    <w:rsid w:val="0075421F"/>
    <w:rsid w:val="00754ABE"/>
    <w:rsid w:val="00754F0B"/>
    <w:rsid w:val="00757C2D"/>
    <w:rsid w:val="00757DD4"/>
    <w:rsid w:val="007609DF"/>
    <w:rsid w:val="00760CC2"/>
    <w:rsid w:val="0076141F"/>
    <w:rsid w:val="00762D31"/>
    <w:rsid w:val="007631E9"/>
    <w:rsid w:val="00763DAE"/>
    <w:rsid w:val="00766CA7"/>
    <w:rsid w:val="00767D22"/>
    <w:rsid w:val="00771543"/>
    <w:rsid w:val="0077203A"/>
    <w:rsid w:val="00774246"/>
    <w:rsid w:val="0077496D"/>
    <w:rsid w:val="007770D8"/>
    <w:rsid w:val="00777F72"/>
    <w:rsid w:val="00785B60"/>
    <w:rsid w:val="00787C5F"/>
    <w:rsid w:val="007907E7"/>
    <w:rsid w:val="00790C34"/>
    <w:rsid w:val="00791430"/>
    <w:rsid w:val="007932AD"/>
    <w:rsid w:val="00794553"/>
    <w:rsid w:val="007A18BB"/>
    <w:rsid w:val="007A2187"/>
    <w:rsid w:val="007A2913"/>
    <w:rsid w:val="007A3ABD"/>
    <w:rsid w:val="007A4939"/>
    <w:rsid w:val="007A713D"/>
    <w:rsid w:val="007A73BE"/>
    <w:rsid w:val="007A7B20"/>
    <w:rsid w:val="007B1FF9"/>
    <w:rsid w:val="007B271A"/>
    <w:rsid w:val="007B5680"/>
    <w:rsid w:val="007B584D"/>
    <w:rsid w:val="007C06FD"/>
    <w:rsid w:val="007C2155"/>
    <w:rsid w:val="007C3045"/>
    <w:rsid w:val="007C5C23"/>
    <w:rsid w:val="007C75CA"/>
    <w:rsid w:val="007C7783"/>
    <w:rsid w:val="007D088F"/>
    <w:rsid w:val="007D0A2C"/>
    <w:rsid w:val="007D1D57"/>
    <w:rsid w:val="007D4018"/>
    <w:rsid w:val="007D489A"/>
    <w:rsid w:val="007D4C85"/>
    <w:rsid w:val="007D5011"/>
    <w:rsid w:val="007D6C06"/>
    <w:rsid w:val="007E131E"/>
    <w:rsid w:val="007E27E3"/>
    <w:rsid w:val="007E2BE8"/>
    <w:rsid w:val="007E563E"/>
    <w:rsid w:val="007F12E9"/>
    <w:rsid w:val="007F2B33"/>
    <w:rsid w:val="007F407A"/>
    <w:rsid w:val="007F451D"/>
    <w:rsid w:val="007F528B"/>
    <w:rsid w:val="007F67B9"/>
    <w:rsid w:val="007F7E34"/>
    <w:rsid w:val="008007B0"/>
    <w:rsid w:val="00803D96"/>
    <w:rsid w:val="00810035"/>
    <w:rsid w:val="00810888"/>
    <w:rsid w:val="008112A9"/>
    <w:rsid w:val="0081205D"/>
    <w:rsid w:val="00812CD5"/>
    <w:rsid w:val="00813519"/>
    <w:rsid w:val="00813EBD"/>
    <w:rsid w:val="008176B3"/>
    <w:rsid w:val="00822975"/>
    <w:rsid w:val="00823116"/>
    <w:rsid w:val="0082577D"/>
    <w:rsid w:val="00825D5E"/>
    <w:rsid w:val="00825EB2"/>
    <w:rsid w:val="0083040F"/>
    <w:rsid w:val="008311F6"/>
    <w:rsid w:val="008315A9"/>
    <w:rsid w:val="00832901"/>
    <w:rsid w:val="008331EF"/>
    <w:rsid w:val="0083524C"/>
    <w:rsid w:val="00836636"/>
    <w:rsid w:val="0084009B"/>
    <w:rsid w:val="00840665"/>
    <w:rsid w:val="00840839"/>
    <w:rsid w:val="00840A1D"/>
    <w:rsid w:val="00843803"/>
    <w:rsid w:val="00844817"/>
    <w:rsid w:val="00845368"/>
    <w:rsid w:val="00845D5D"/>
    <w:rsid w:val="00852765"/>
    <w:rsid w:val="00860343"/>
    <w:rsid w:val="00860AD2"/>
    <w:rsid w:val="00862D48"/>
    <w:rsid w:val="008646FF"/>
    <w:rsid w:val="0086510C"/>
    <w:rsid w:val="00865AB3"/>
    <w:rsid w:val="00865E6D"/>
    <w:rsid w:val="008660D9"/>
    <w:rsid w:val="00871814"/>
    <w:rsid w:val="008718F3"/>
    <w:rsid w:val="008721DB"/>
    <w:rsid w:val="0087270F"/>
    <w:rsid w:val="00873A70"/>
    <w:rsid w:val="008761F1"/>
    <w:rsid w:val="00880CEA"/>
    <w:rsid w:val="008824C4"/>
    <w:rsid w:val="00883017"/>
    <w:rsid w:val="008834E3"/>
    <w:rsid w:val="00883E64"/>
    <w:rsid w:val="00886C6E"/>
    <w:rsid w:val="008900BC"/>
    <w:rsid w:val="0089117D"/>
    <w:rsid w:val="00891775"/>
    <w:rsid w:val="00892AFC"/>
    <w:rsid w:val="00893071"/>
    <w:rsid w:val="0089325C"/>
    <w:rsid w:val="00894541"/>
    <w:rsid w:val="0089499F"/>
    <w:rsid w:val="008A0D1F"/>
    <w:rsid w:val="008A1C25"/>
    <w:rsid w:val="008A3400"/>
    <w:rsid w:val="008A3593"/>
    <w:rsid w:val="008A49F2"/>
    <w:rsid w:val="008A7305"/>
    <w:rsid w:val="008A747F"/>
    <w:rsid w:val="008A7992"/>
    <w:rsid w:val="008B0DCA"/>
    <w:rsid w:val="008B3EED"/>
    <w:rsid w:val="008B5D75"/>
    <w:rsid w:val="008B6033"/>
    <w:rsid w:val="008B69A2"/>
    <w:rsid w:val="008B784E"/>
    <w:rsid w:val="008C0A06"/>
    <w:rsid w:val="008C0B1E"/>
    <w:rsid w:val="008C0DB8"/>
    <w:rsid w:val="008C1B85"/>
    <w:rsid w:val="008C263F"/>
    <w:rsid w:val="008C3674"/>
    <w:rsid w:val="008C3B4F"/>
    <w:rsid w:val="008C550D"/>
    <w:rsid w:val="008D1338"/>
    <w:rsid w:val="008D1526"/>
    <w:rsid w:val="008D1C33"/>
    <w:rsid w:val="008D4C64"/>
    <w:rsid w:val="008D5488"/>
    <w:rsid w:val="008D6948"/>
    <w:rsid w:val="008E04BB"/>
    <w:rsid w:val="008E20E3"/>
    <w:rsid w:val="008E4727"/>
    <w:rsid w:val="008E64B7"/>
    <w:rsid w:val="008E6E98"/>
    <w:rsid w:val="008F0130"/>
    <w:rsid w:val="008F0A05"/>
    <w:rsid w:val="008F0F5A"/>
    <w:rsid w:val="008F50CF"/>
    <w:rsid w:val="008F57F9"/>
    <w:rsid w:val="008F7339"/>
    <w:rsid w:val="00900820"/>
    <w:rsid w:val="00901152"/>
    <w:rsid w:val="009017A8"/>
    <w:rsid w:val="009042FC"/>
    <w:rsid w:val="00904D56"/>
    <w:rsid w:val="00904ED9"/>
    <w:rsid w:val="00906B6B"/>
    <w:rsid w:val="00911102"/>
    <w:rsid w:val="00911665"/>
    <w:rsid w:val="00912D93"/>
    <w:rsid w:val="00914F3A"/>
    <w:rsid w:val="00914F3F"/>
    <w:rsid w:val="00915548"/>
    <w:rsid w:val="00916193"/>
    <w:rsid w:val="00916AFA"/>
    <w:rsid w:val="0092387E"/>
    <w:rsid w:val="009238DD"/>
    <w:rsid w:val="009251B9"/>
    <w:rsid w:val="009255F3"/>
    <w:rsid w:val="00927FA8"/>
    <w:rsid w:val="00930520"/>
    <w:rsid w:val="00932904"/>
    <w:rsid w:val="00932ADC"/>
    <w:rsid w:val="0093333E"/>
    <w:rsid w:val="009342B6"/>
    <w:rsid w:val="00935A0D"/>
    <w:rsid w:val="00940311"/>
    <w:rsid w:val="00940C54"/>
    <w:rsid w:val="0094116E"/>
    <w:rsid w:val="009413B1"/>
    <w:rsid w:val="00941D1D"/>
    <w:rsid w:val="00942EE5"/>
    <w:rsid w:val="00944CA2"/>
    <w:rsid w:val="00945246"/>
    <w:rsid w:val="00945611"/>
    <w:rsid w:val="00945BE0"/>
    <w:rsid w:val="00945F15"/>
    <w:rsid w:val="00946EEF"/>
    <w:rsid w:val="0094776B"/>
    <w:rsid w:val="00951195"/>
    <w:rsid w:val="009511A7"/>
    <w:rsid w:val="00952C40"/>
    <w:rsid w:val="00956155"/>
    <w:rsid w:val="009569D8"/>
    <w:rsid w:val="00956D62"/>
    <w:rsid w:val="0096175D"/>
    <w:rsid w:val="00964890"/>
    <w:rsid w:val="00964B06"/>
    <w:rsid w:val="0096573A"/>
    <w:rsid w:val="009707AE"/>
    <w:rsid w:val="0097098C"/>
    <w:rsid w:val="00971658"/>
    <w:rsid w:val="00971BD9"/>
    <w:rsid w:val="00971D31"/>
    <w:rsid w:val="00975EB9"/>
    <w:rsid w:val="0098068E"/>
    <w:rsid w:val="009808D8"/>
    <w:rsid w:val="00980B26"/>
    <w:rsid w:val="009819B1"/>
    <w:rsid w:val="009838C8"/>
    <w:rsid w:val="009843AF"/>
    <w:rsid w:val="009869AF"/>
    <w:rsid w:val="00986E8F"/>
    <w:rsid w:val="009904D4"/>
    <w:rsid w:val="00991316"/>
    <w:rsid w:val="00992CAB"/>
    <w:rsid w:val="009961B4"/>
    <w:rsid w:val="009A083C"/>
    <w:rsid w:val="009A1810"/>
    <w:rsid w:val="009A3732"/>
    <w:rsid w:val="009A65F3"/>
    <w:rsid w:val="009A6C40"/>
    <w:rsid w:val="009A7934"/>
    <w:rsid w:val="009B0CF1"/>
    <w:rsid w:val="009B1592"/>
    <w:rsid w:val="009B1B4F"/>
    <w:rsid w:val="009B1E14"/>
    <w:rsid w:val="009B21C8"/>
    <w:rsid w:val="009B351E"/>
    <w:rsid w:val="009B5C0F"/>
    <w:rsid w:val="009B5D9D"/>
    <w:rsid w:val="009C0DC0"/>
    <w:rsid w:val="009C1A6A"/>
    <w:rsid w:val="009C229C"/>
    <w:rsid w:val="009C2616"/>
    <w:rsid w:val="009C29BB"/>
    <w:rsid w:val="009C4E50"/>
    <w:rsid w:val="009C62EE"/>
    <w:rsid w:val="009C664C"/>
    <w:rsid w:val="009C6FF0"/>
    <w:rsid w:val="009D039B"/>
    <w:rsid w:val="009D08F7"/>
    <w:rsid w:val="009D11EA"/>
    <w:rsid w:val="009D2140"/>
    <w:rsid w:val="009D2A7F"/>
    <w:rsid w:val="009D2BD7"/>
    <w:rsid w:val="009D2C3E"/>
    <w:rsid w:val="009D3403"/>
    <w:rsid w:val="009D4854"/>
    <w:rsid w:val="009D55F7"/>
    <w:rsid w:val="009E01A7"/>
    <w:rsid w:val="009E0776"/>
    <w:rsid w:val="009E5A7D"/>
    <w:rsid w:val="009E6009"/>
    <w:rsid w:val="009F0B02"/>
    <w:rsid w:val="009F30E0"/>
    <w:rsid w:val="009F3738"/>
    <w:rsid w:val="00A00684"/>
    <w:rsid w:val="00A01627"/>
    <w:rsid w:val="00A0494C"/>
    <w:rsid w:val="00A04BBB"/>
    <w:rsid w:val="00A04D53"/>
    <w:rsid w:val="00A04F99"/>
    <w:rsid w:val="00A0600E"/>
    <w:rsid w:val="00A121C7"/>
    <w:rsid w:val="00A12C94"/>
    <w:rsid w:val="00A135CC"/>
    <w:rsid w:val="00A138DC"/>
    <w:rsid w:val="00A15FEC"/>
    <w:rsid w:val="00A166A3"/>
    <w:rsid w:val="00A17788"/>
    <w:rsid w:val="00A2016B"/>
    <w:rsid w:val="00A20980"/>
    <w:rsid w:val="00A22137"/>
    <w:rsid w:val="00A249A8"/>
    <w:rsid w:val="00A26A80"/>
    <w:rsid w:val="00A30A8F"/>
    <w:rsid w:val="00A33FC6"/>
    <w:rsid w:val="00A343BA"/>
    <w:rsid w:val="00A34CB7"/>
    <w:rsid w:val="00A358F4"/>
    <w:rsid w:val="00A36876"/>
    <w:rsid w:val="00A37494"/>
    <w:rsid w:val="00A41A76"/>
    <w:rsid w:val="00A41BFA"/>
    <w:rsid w:val="00A4602C"/>
    <w:rsid w:val="00A51515"/>
    <w:rsid w:val="00A5237E"/>
    <w:rsid w:val="00A569F6"/>
    <w:rsid w:val="00A57155"/>
    <w:rsid w:val="00A60EB7"/>
    <w:rsid w:val="00A61366"/>
    <w:rsid w:val="00A614C7"/>
    <w:rsid w:val="00A637C0"/>
    <w:rsid w:val="00A64716"/>
    <w:rsid w:val="00A650D8"/>
    <w:rsid w:val="00A65346"/>
    <w:rsid w:val="00A65D15"/>
    <w:rsid w:val="00A65F66"/>
    <w:rsid w:val="00A6764E"/>
    <w:rsid w:val="00A6776A"/>
    <w:rsid w:val="00A71A17"/>
    <w:rsid w:val="00A726E7"/>
    <w:rsid w:val="00A74766"/>
    <w:rsid w:val="00A750A0"/>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B63"/>
    <w:rsid w:val="00AE4009"/>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3C2"/>
    <w:rsid w:val="00B11FAF"/>
    <w:rsid w:val="00B13149"/>
    <w:rsid w:val="00B132B4"/>
    <w:rsid w:val="00B252A8"/>
    <w:rsid w:val="00B2705D"/>
    <w:rsid w:val="00B277E7"/>
    <w:rsid w:val="00B27FF6"/>
    <w:rsid w:val="00B319D2"/>
    <w:rsid w:val="00B32540"/>
    <w:rsid w:val="00B348D7"/>
    <w:rsid w:val="00B365A2"/>
    <w:rsid w:val="00B40A80"/>
    <w:rsid w:val="00B42D1D"/>
    <w:rsid w:val="00B43757"/>
    <w:rsid w:val="00B44700"/>
    <w:rsid w:val="00B456E6"/>
    <w:rsid w:val="00B45F76"/>
    <w:rsid w:val="00B45F90"/>
    <w:rsid w:val="00B4631A"/>
    <w:rsid w:val="00B46384"/>
    <w:rsid w:val="00B47B70"/>
    <w:rsid w:val="00B51C92"/>
    <w:rsid w:val="00B6052F"/>
    <w:rsid w:val="00B63E00"/>
    <w:rsid w:val="00B66292"/>
    <w:rsid w:val="00B67138"/>
    <w:rsid w:val="00B70F8F"/>
    <w:rsid w:val="00B71AED"/>
    <w:rsid w:val="00B73D8D"/>
    <w:rsid w:val="00B74608"/>
    <w:rsid w:val="00B753C7"/>
    <w:rsid w:val="00B773D4"/>
    <w:rsid w:val="00B77CC9"/>
    <w:rsid w:val="00B81B6F"/>
    <w:rsid w:val="00B81EB5"/>
    <w:rsid w:val="00B8245E"/>
    <w:rsid w:val="00B837C4"/>
    <w:rsid w:val="00B85A01"/>
    <w:rsid w:val="00B860D9"/>
    <w:rsid w:val="00B911C0"/>
    <w:rsid w:val="00B9193F"/>
    <w:rsid w:val="00B91B25"/>
    <w:rsid w:val="00B928FC"/>
    <w:rsid w:val="00B941E0"/>
    <w:rsid w:val="00B942F0"/>
    <w:rsid w:val="00B95049"/>
    <w:rsid w:val="00B954F0"/>
    <w:rsid w:val="00B9602B"/>
    <w:rsid w:val="00B965C5"/>
    <w:rsid w:val="00B967A9"/>
    <w:rsid w:val="00BA310E"/>
    <w:rsid w:val="00BA4680"/>
    <w:rsid w:val="00BA6899"/>
    <w:rsid w:val="00BB20BE"/>
    <w:rsid w:val="00BB2F04"/>
    <w:rsid w:val="00BB4B54"/>
    <w:rsid w:val="00BC2E08"/>
    <w:rsid w:val="00BC3FEF"/>
    <w:rsid w:val="00BC53C8"/>
    <w:rsid w:val="00BC7951"/>
    <w:rsid w:val="00BD1BF5"/>
    <w:rsid w:val="00BD21A9"/>
    <w:rsid w:val="00BD3375"/>
    <w:rsid w:val="00BD4255"/>
    <w:rsid w:val="00BD441C"/>
    <w:rsid w:val="00BD4A22"/>
    <w:rsid w:val="00BD7483"/>
    <w:rsid w:val="00BE17FD"/>
    <w:rsid w:val="00BE2828"/>
    <w:rsid w:val="00BE362B"/>
    <w:rsid w:val="00BE3FC0"/>
    <w:rsid w:val="00BE4452"/>
    <w:rsid w:val="00BE4A99"/>
    <w:rsid w:val="00BE540E"/>
    <w:rsid w:val="00BE5795"/>
    <w:rsid w:val="00BE6CDA"/>
    <w:rsid w:val="00BF0C44"/>
    <w:rsid w:val="00BF19D1"/>
    <w:rsid w:val="00BF3F78"/>
    <w:rsid w:val="00BF5651"/>
    <w:rsid w:val="00BF6F33"/>
    <w:rsid w:val="00BF7DA6"/>
    <w:rsid w:val="00C03B20"/>
    <w:rsid w:val="00C0486A"/>
    <w:rsid w:val="00C06BC9"/>
    <w:rsid w:val="00C1068F"/>
    <w:rsid w:val="00C12232"/>
    <w:rsid w:val="00C13D6C"/>
    <w:rsid w:val="00C14192"/>
    <w:rsid w:val="00C21BF2"/>
    <w:rsid w:val="00C240DC"/>
    <w:rsid w:val="00C251CD"/>
    <w:rsid w:val="00C25BC7"/>
    <w:rsid w:val="00C26A11"/>
    <w:rsid w:val="00C27DF7"/>
    <w:rsid w:val="00C31E13"/>
    <w:rsid w:val="00C32D1D"/>
    <w:rsid w:val="00C365D6"/>
    <w:rsid w:val="00C37F99"/>
    <w:rsid w:val="00C40E73"/>
    <w:rsid w:val="00C419FC"/>
    <w:rsid w:val="00C41EBF"/>
    <w:rsid w:val="00C425A8"/>
    <w:rsid w:val="00C47A07"/>
    <w:rsid w:val="00C47D1B"/>
    <w:rsid w:val="00C503FF"/>
    <w:rsid w:val="00C5112D"/>
    <w:rsid w:val="00C56A1D"/>
    <w:rsid w:val="00C60714"/>
    <w:rsid w:val="00C60D1F"/>
    <w:rsid w:val="00C61143"/>
    <w:rsid w:val="00C62F27"/>
    <w:rsid w:val="00C657AA"/>
    <w:rsid w:val="00C65F73"/>
    <w:rsid w:val="00C66351"/>
    <w:rsid w:val="00C66AB3"/>
    <w:rsid w:val="00C71100"/>
    <w:rsid w:val="00C72F08"/>
    <w:rsid w:val="00C751D6"/>
    <w:rsid w:val="00C75879"/>
    <w:rsid w:val="00C75DF4"/>
    <w:rsid w:val="00C768F5"/>
    <w:rsid w:val="00C77CAB"/>
    <w:rsid w:val="00C80956"/>
    <w:rsid w:val="00C80F8C"/>
    <w:rsid w:val="00C8734B"/>
    <w:rsid w:val="00C90970"/>
    <w:rsid w:val="00C91163"/>
    <w:rsid w:val="00C91F80"/>
    <w:rsid w:val="00C944F9"/>
    <w:rsid w:val="00C94EA7"/>
    <w:rsid w:val="00CA234B"/>
    <w:rsid w:val="00CA4AD0"/>
    <w:rsid w:val="00CA4E9B"/>
    <w:rsid w:val="00CA6914"/>
    <w:rsid w:val="00CA7B2B"/>
    <w:rsid w:val="00CB0854"/>
    <w:rsid w:val="00CB35B9"/>
    <w:rsid w:val="00CB48AF"/>
    <w:rsid w:val="00CC1C85"/>
    <w:rsid w:val="00CC2001"/>
    <w:rsid w:val="00CC2795"/>
    <w:rsid w:val="00CC280D"/>
    <w:rsid w:val="00CC439F"/>
    <w:rsid w:val="00CC5554"/>
    <w:rsid w:val="00CC7262"/>
    <w:rsid w:val="00CD06D6"/>
    <w:rsid w:val="00CD1A76"/>
    <w:rsid w:val="00CD2E12"/>
    <w:rsid w:val="00CD352F"/>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5E40"/>
    <w:rsid w:val="00D068E5"/>
    <w:rsid w:val="00D07FBE"/>
    <w:rsid w:val="00D10FAB"/>
    <w:rsid w:val="00D113B8"/>
    <w:rsid w:val="00D1243E"/>
    <w:rsid w:val="00D133F5"/>
    <w:rsid w:val="00D1359F"/>
    <w:rsid w:val="00D13DB5"/>
    <w:rsid w:val="00D1478E"/>
    <w:rsid w:val="00D16EFF"/>
    <w:rsid w:val="00D16FAF"/>
    <w:rsid w:val="00D23B51"/>
    <w:rsid w:val="00D2554F"/>
    <w:rsid w:val="00D25B84"/>
    <w:rsid w:val="00D263C5"/>
    <w:rsid w:val="00D27239"/>
    <w:rsid w:val="00D27517"/>
    <w:rsid w:val="00D279D5"/>
    <w:rsid w:val="00D27A6E"/>
    <w:rsid w:val="00D315D5"/>
    <w:rsid w:val="00D32FA1"/>
    <w:rsid w:val="00D34961"/>
    <w:rsid w:val="00D37F54"/>
    <w:rsid w:val="00D41E6B"/>
    <w:rsid w:val="00D42894"/>
    <w:rsid w:val="00D42905"/>
    <w:rsid w:val="00D436EC"/>
    <w:rsid w:val="00D44D22"/>
    <w:rsid w:val="00D45A6B"/>
    <w:rsid w:val="00D5183E"/>
    <w:rsid w:val="00D528EC"/>
    <w:rsid w:val="00D53321"/>
    <w:rsid w:val="00D538F8"/>
    <w:rsid w:val="00D56842"/>
    <w:rsid w:val="00D57345"/>
    <w:rsid w:val="00D575E4"/>
    <w:rsid w:val="00D63459"/>
    <w:rsid w:val="00D65352"/>
    <w:rsid w:val="00D6669B"/>
    <w:rsid w:val="00D666B7"/>
    <w:rsid w:val="00D66BD7"/>
    <w:rsid w:val="00D6748B"/>
    <w:rsid w:val="00D67603"/>
    <w:rsid w:val="00D7165C"/>
    <w:rsid w:val="00D71784"/>
    <w:rsid w:val="00D73A56"/>
    <w:rsid w:val="00D73B19"/>
    <w:rsid w:val="00D7576D"/>
    <w:rsid w:val="00D80027"/>
    <w:rsid w:val="00D82827"/>
    <w:rsid w:val="00D829B9"/>
    <w:rsid w:val="00D84768"/>
    <w:rsid w:val="00D863E1"/>
    <w:rsid w:val="00D8716A"/>
    <w:rsid w:val="00D8722C"/>
    <w:rsid w:val="00D91D7E"/>
    <w:rsid w:val="00D94927"/>
    <w:rsid w:val="00D94CF7"/>
    <w:rsid w:val="00D94E8C"/>
    <w:rsid w:val="00D95C6B"/>
    <w:rsid w:val="00D96314"/>
    <w:rsid w:val="00D9776F"/>
    <w:rsid w:val="00DA0A57"/>
    <w:rsid w:val="00DA1A9A"/>
    <w:rsid w:val="00DA2187"/>
    <w:rsid w:val="00DA49EE"/>
    <w:rsid w:val="00DB1472"/>
    <w:rsid w:val="00DB443A"/>
    <w:rsid w:val="00DB48DE"/>
    <w:rsid w:val="00DB4C4F"/>
    <w:rsid w:val="00DB500B"/>
    <w:rsid w:val="00DB66BE"/>
    <w:rsid w:val="00DB7209"/>
    <w:rsid w:val="00DC0F37"/>
    <w:rsid w:val="00DC51C8"/>
    <w:rsid w:val="00DC5E11"/>
    <w:rsid w:val="00DC6CE9"/>
    <w:rsid w:val="00DC7914"/>
    <w:rsid w:val="00DD252F"/>
    <w:rsid w:val="00DD35F9"/>
    <w:rsid w:val="00DD36DC"/>
    <w:rsid w:val="00DD43B7"/>
    <w:rsid w:val="00DD471B"/>
    <w:rsid w:val="00DD484F"/>
    <w:rsid w:val="00DD535A"/>
    <w:rsid w:val="00DD5BE6"/>
    <w:rsid w:val="00DD6120"/>
    <w:rsid w:val="00DD7F73"/>
    <w:rsid w:val="00DE0BC1"/>
    <w:rsid w:val="00DE200D"/>
    <w:rsid w:val="00DE2845"/>
    <w:rsid w:val="00DE35DE"/>
    <w:rsid w:val="00DE4852"/>
    <w:rsid w:val="00DE4EE6"/>
    <w:rsid w:val="00DE521F"/>
    <w:rsid w:val="00DE57DE"/>
    <w:rsid w:val="00DE6ED5"/>
    <w:rsid w:val="00DE7418"/>
    <w:rsid w:val="00DE7778"/>
    <w:rsid w:val="00DE7D42"/>
    <w:rsid w:val="00DF037D"/>
    <w:rsid w:val="00DF09CB"/>
    <w:rsid w:val="00DF09F9"/>
    <w:rsid w:val="00DF2EE7"/>
    <w:rsid w:val="00DF3403"/>
    <w:rsid w:val="00DF564E"/>
    <w:rsid w:val="00DF5C69"/>
    <w:rsid w:val="00DF5FEA"/>
    <w:rsid w:val="00DF75A2"/>
    <w:rsid w:val="00E014FE"/>
    <w:rsid w:val="00E01A8B"/>
    <w:rsid w:val="00E02064"/>
    <w:rsid w:val="00E029F0"/>
    <w:rsid w:val="00E02DB6"/>
    <w:rsid w:val="00E035C5"/>
    <w:rsid w:val="00E130D3"/>
    <w:rsid w:val="00E132B7"/>
    <w:rsid w:val="00E13C8D"/>
    <w:rsid w:val="00E13CB2"/>
    <w:rsid w:val="00E16BD9"/>
    <w:rsid w:val="00E17F4C"/>
    <w:rsid w:val="00E2005F"/>
    <w:rsid w:val="00E22A00"/>
    <w:rsid w:val="00E22CB6"/>
    <w:rsid w:val="00E2621D"/>
    <w:rsid w:val="00E27200"/>
    <w:rsid w:val="00E274BF"/>
    <w:rsid w:val="00E32C55"/>
    <w:rsid w:val="00E3486E"/>
    <w:rsid w:val="00E40D8E"/>
    <w:rsid w:val="00E40F47"/>
    <w:rsid w:val="00E429D8"/>
    <w:rsid w:val="00E443FF"/>
    <w:rsid w:val="00E45F95"/>
    <w:rsid w:val="00E54D3C"/>
    <w:rsid w:val="00E57585"/>
    <w:rsid w:val="00E57A3C"/>
    <w:rsid w:val="00E60710"/>
    <w:rsid w:val="00E60927"/>
    <w:rsid w:val="00E616BB"/>
    <w:rsid w:val="00E62DC0"/>
    <w:rsid w:val="00E6366A"/>
    <w:rsid w:val="00E64FC8"/>
    <w:rsid w:val="00E6723F"/>
    <w:rsid w:val="00E719A5"/>
    <w:rsid w:val="00E71DCE"/>
    <w:rsid w:val="00E76824"/>
    <w:rsid w:val="00E80A8D"/>
    <w:rsid w:val="00E822FC"/>
    <w:rsid w:val="00E8446B"/>
    <w:rsid w:val="00E84B75"/>
    <w:rsid w:val="00E84D0C"/>
    <w:rsid w:val="00E86E4F"/>
    <w:rsid w:val="00E90358"/>
    <w:rsid w:val="00E9144E"/>
    <w:rsid w:val="00E91712"/>
    <w:rsid w:val="00E91E1D"/>
    <w:rsid w:val="00E91EC5"/>
    <w:rsid w:val="00E92F2F"/>
    <w:rsid w:val="00E93899"/>
    <w:rsid w:val="00E96B25"/>
    <w:rsid w:val="00E97F31"/>
    <w:rsid w:val="00EA08CF"/>
    <w:rsid w:val="00EA0C16"/>
    <w:rsid w:val="00EA2D50"/>
    <w:rsid w:val="00EA3F80"/>
    <w:rsid w:val="00EA5426"/>
    <w:rsid w:val="00EA5464"/>
    <w:rsid w:val="00EA5AFB"/>
    <w:rsid w:val="00EA5E76"/>
    <w:rsid w:val="00EB2011"/>
    <w:rsid w:val="00EB2C90"/>
    <w:rsid w:val="00EB3173"/>
    <w:rsid w:val="00EB32B0"/>
    <w:rsid w:val="00EB4790"/>
    <w:rsid w:val="00EB49E8"/>
    <w:rsid w:val="00EB6471"/>
    <w:rsid w:val="00EB70B4"/>
    <w:rsid w:val="00EB71E4"/>
    <w:rsid w:val="00EC0739"/>
    <w:rsid w:val="00EC1018"/>
    <w:rsid w:val="00EC1087"/>
    <w:rsid w:val="00EC25BC"/>
    <w:rsid w:val="00EC61EA"/>
    <w:rsid w:val="00EC69F7"/>
    <w:rsid w:val="00EC717D"/>
    <w:rsid w:val="00EC74C6"/>
    <w:rsid w:val="00EC78B5"/>
    <w:rsid w:val="00ED0428"/>
    <w:rsid w:val="00ED2AAC"/>
    <w:rsid w:val="00ED456A"/>
    <w:rsid w:val="00ED610B"/>
    <w:rsid w:val="00ED63B2"/>
    <w:rsid w:val="00ED6766"/>
    <w:rsid w:val="00ED6D1E"/>
    <w:rsid w:val="00ED792A"/>
    <w:rsid w:val="00EE1E1A"/>
    <w:rsid w:val="00EE272C"/>
    <w:rsid w:val="00EE3F2B"/>
    <w:rsid w:val="00EE6402"/>
    <w:rsid w:val="00EF08D2"/>
    <w:rsid w:val="00EF1BB8"/>
    <w:rsid w:val="00EF210B"/>
    <w:rsid w:val="00EF35A8"/>
    <w:rsid w:val="00EF4435"/>
    <w:rsid w:val="00EF63C9"/>
    <w:rsid w:val="00EF64E7"/>
    <w:rsid w:val="00EF7A7F"/>
    <w:rsid w:val="00F03889"/>
    <w:rsid w:val="00F04354"/>
    <w:rsid w:val="00F05081"/>
    <w:rsid w:val="00F11768"/>
    <w:rsid w:val="00F12EFF"/>
    <w:rsid w:val="00F155EC"/>
    <w:rsid w:val="00F15A20"/>
    <w:rsid w:val="00F16F9E"/>
    <w:rsid w:val="00F20C33"/>
    <w:rsid w:val="00F21F38"/>
    <w:rsid w:val="00F22414"/>
    <w:rsid w:val="00F22752"/>
    <w:rsid w:val="00F22FBF"/>
    <w:rsid w:val="00F238A4"/>
    <w:rsid w:val="00F23A16"/>
    <w:rsid w:val="00F24D6E"/>
    <w:rsid w:val="00F25B48"/>
    <w:rsid w:val="00F27033"/>
    <w:rsid w:val="00F2719D"/>
    <w:rsid w:val="00F32066"/>
    <w:rsid w:val="00F354B7"/>
    <w:rsid w:val="00F35A37"/>
    <w:rsid w:val="00F36A13"/>
    <w:rsid w:val="00F372FD"/>
    <w:rsid w:val="00F416F1"/>
    <w:rsid w:val="00F43779"/>
    <w:rsid w:val="00F45367"/>
    <w:rsid w:val="00F4632A"/>
    <w:rsid w:val="00F47964"/>
    <w:rsid w:val="00F5298F"/>
    <w:rsid w:val="00F564DF"/>
    <w:rsid w:val="00F565D7"/>
    <w:rsid w:val="00F56B8D"/>
    <w:rsid w:val="00F56F30"/>
    <w:rsid w:val="00F61101"/>
    <w:rsid w:val="00F654BB"/>
    <w:rsid w:val="00F66154"/>
    <w:rsid w:val="00F661AD"/>
    <w:rsid w:val="00F708CC"/>
    <w:rsid w:val="00F72212"/>
    <w:rsid w:val="00F72513"/>
    <w:rsid w:val="00F72F30"/>
    <w:rsid w:val="00F731E0"/>
    <w:rsid w:val="00F73426"/>
    <w:rsid w:val="00F7750F"/>
    <w:rsid w:val="00F77A97"/>
    <w:rsid w:val="00F81494"/>
    <w:rsid w:val="00F8179D"/>
    <w:rsid w:val="00F83FA0"/>
    <w:rsid w:val="00F87384"/>
    <w:rsid w:val="00F874B7"/>
    <w:rsid w:val="00F8781E"/>
    <w:rsid w:val="00F87BA5"/>
    <w:rsid w:val="00F9071C"/>
    <w:rsid w:val="00F96477"/>
    <w:rsid w:val="00FA0C0F"/>
    <w:rsid w:val="00FA362E"/>
    <w:rsid w:val="00FA5E09"/>
    <w:rsid w:val="00FA62D8"/>
    <w:rsid w:val="00FA74AB"/>
    <w:rsid w:val="00FB0158"/>
    <w:rsid w:val="00FB037E"/>
    <w:rsid w:val="00FB0A21"/>
    <w:rsid w:val="00FB2094"/>
    <w:rsid w:val="00FB4712"/>
    <w:rsid w:val="00FB48D6"/>
    <w:rsid w:val="00FB6933"/>
    <w:rsid w:val="00FB72A9"/>
    <w:rsid w:val="00FB7C29"/>
    <w:rsid w:val="00FC043B"/>
    <w:rsid w:val="00FC05DA"/>
    <w:rsid w:val="00FC0D7D"/>
    <w:rsid w:val="00FC10CB"/>
    <w:rsid w:val="00FC19E9"/>
    <w:rsid w:val="00FC204E"/>
    <w:rsid w:val="00FC25A6"/>
    <w:rsid w:val="00FC2E1C"/>
    <w:rsid w:val="00FC4058"/>
    <w:rsid w:val="00FC4CC4"/>
    <w:rsid w:val="00FC5D55"/>
    <w:rsid w:val="00FD135C"/>
    <w:rsid w:val="00FD552E"/>
    <w:rsid w:val="00FD5946"/>
    <w:rsid w:val="00FD5E90"/>
    <w:rsid w:val="00FD7CED"/>
    <w:rsid w:val="00FD7E1C"/>
    <w:rsid w:val="00FE04C0"/>
    <w:rsid w:val="00FE283D"/>
    <w:rsid w:val="00FE5255"/>
    <w:rsid w:val="00FE58F9"/>
    <w:rsid w:val="00FE5AF6"/>
    <w:rsid w:val="00FE5C26"/>
    <w:rsid w:val="00FE5FA2"/>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paragraph" w:styleId="Textoindependiente2">
    <w:name w:val="Body Text 2"/>
    <w:basedOn w:val="Normal"/>
    <w:link w:val="Textoindependiente2Car"/>
    <w:uiPriority w:val="99"/>
    <w:unhideWhenUsed/>
    <w:rsid w:val="00EA08C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EA08CF"/>
    <w:rPr>
      <w:rFonts w:ascii="Times New Roman" w:eastAsia="Times New Roman" w:hAnsi="Times New Roman" w:cs="Times New Roman"/>
      <w:lang w:val="es-MX"/>
    </w:rPr>
  </w:style>
  <w:style w:type="paragraph" w:customStyle="1" w:styleId="m5840445789086103484gmail-j">
    <w:name w:val="m_5840445789086103484gmail-j"/>
    <w:basedOn w:val="Normal"/>
    <w:rsid w:val="00033FB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92489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5360310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4956633">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8707300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129446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puve-consulta.com.mx/ni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D7C1-D5DB-433E-8EE3-2876BCE9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7963</TotalTime>
  <Pages>38</Pages>
  <Words>9426</Words>
  <Characters>51845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645</cp:revision>
  <cp:lastPrinted>2019-01-10T01:26:00Z</cp:lastPrinted>
  <dcterms:created xsi:type="dcterms:W3CDTF">2017-06-27T22:47:00Z</dcterms:created>
  <dcterms:modified xsi:type="dcterms:W3CDTF">2019-02-18T15:42:00Z</dcterms:modified>
</cp:coreProperties>
</file>